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956CD" w14:textId="77777777" w:rsidR="00512D62" w:rsidRDefault="00512D62" w:rsidP="002709DC">
      <w:pPr>
        <w:spacing w:before="100" w:beforeAutospacing="1" w:after="100" w:afterAutospacing="1"/>
        <w:rPr>
          <w:b/>
          <w:bCs/>
          <w:color w:val="0D0D0D" w:themeColor="text1" w:themeTint="F2"/>
        </w:rPr>
      </w:pPr>
      <w:r>
        <w:rPr>
          <w:noProof/>
        </w:rPr>
        <w:drawing>
          <wp:inline distT="0" distB="0" distL="0" distR="0" wp14:anchorId="130A2E6B" wp14:editId="08A37293">
            <wp:extent cx="1671432" cy="5619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8371" cy="564308"/>
                    </a:xfrm>
                    <a:prstGeom prst="rect">
                      <a:avLst/>
                    </a:prstGeom>
                    <a:noFill/>
                    <a:ln>
                      <a:noFill/>
                    </a:ln>
                  </pic:spPr>
                </pic:pic>
              </a:graphicData>
            </a:graphic>
          </wp:inline>
        </w:drawing>
      </w:r>
      <w:r w:rsidR="002709DC">
        <w:rPr>
          <w:b/>
          <w:bCs/>
          <w:color w:val="0D0D0D" w:themeColor="text1" w:themeTint="F2"/>
        </w:rPr>
        <w:tab/>
      </w:r>
      <w:r w:rsidR="002709DC">
        <w:rPr>
          <w:b/>
          <w:bCs/>
          <w:color w:val="0D0D0D" w:themeColor="text1" w:themeTint="F2"/>
        </w:rPr>
        <w:tab/>
      </w:r>
      <w:r w:rsidR="002709DC">
        <w:rPr>
          <w:b/>
          <w:bCs/>
          <w:color w:val="0D0D0D" w:themeColor="text1" w:themeTint="F2"/>
        </w:rPr>
        <w:tab/>
      </w:r>
      <w:r w:rsidR="002709DC">
        <w:rPr>
          <w:b/>
          <w:bCs/>
          <w:color w:val="0D0D0D" w:themeColor="text1" w:themeTint="F2"/>
        </w:rPr>
        <w:tab/>
      </w:r>
      <w:r w:rsidR="002709DC">
        <w:rPr>
          <w:b/>
          <w:bCs/>
          <w:color w:val="0D0D0D" w:themeColor="text1" w:themeTint="F2"/>
        </w:rPr>
        <w:tab/>
      </w:r>
      <w:r w:rsidR="002709DC">
        <w:rPr>
          <w:b/>
          <w:bCs/>
          <w:color w:val="0D0D0D" w:themeColor="text1" w:themeTint="F2"/>
        </w:rPr>
        <w:tab/>
        <w:t xml:space="preserve">  </w:t>
      </w:r>
      <w:r>
        <w:rPr>
          <w:noProof/>
        </w:rPr>
        <w:drawing>
          <wp:inline distT="0" distB="0" distL="0" distR="0" wp14:anchorId="016F319F" wp14:editId="21CF476D">
            <wp:extent cx="1433195" cy="1133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3515" cy="1141637"/>
                    </a:xfrm>
                    <a:prstGeom prst="rect">
                      <a:avLst/>
                    </a:prstGeom>
                    <a:noFill/>
                    <a:ln>
                      <a:noFill/>
                    </a:ln>
                  </pic:spPr>
                </pic:pic>
              </a:graphicData>
            </a:graphic>
          </wp:inline>
        </w:drawing>
      </w:r>
      <w:r w:rsidR="002709DC">
        <w:rPr>
          <w:b/>
          <w:bCs/>
          <w:color w:val="0D0D0D" w:themeColor="text1" w:themeTint="F2"/>
        </w:rPr>
        <w:t xml:space="preserve">    </w:t>
      </w:r>
    </w:p>
    <w:p w14:paraId="4083E285" w14:textId="77777777" w:rsidR="00025194" w:rsidRPr="00E93AE1" w:rsidRDefault="00025194" w:rsidP="00025194">
      <w:pPr>
        <w:spacing w:before="100" w:beforeAutospacing="1" w:after="100" w:afterAutospacing="1"/>
        <w:rPr>
          <w:b/>
          <w:bCs/>
          <w:color w:val="0D0D0D" w:themeColor="text1" w:themeTint="F2"/>
        </w:rPr>
      </w:pPr>
      <w:r w:rsidRPr="00E93AE1">
        <w:rPr>
          <w:b/>
          <w:bCs/>
          <w:color w:val="0D0D0D" w:themeColor="text1" w:themeTint="F2"/>
        </w:rPr>
        <w:t>APPLICATION TO JOIN A CHAPTER COMMITTEE OF THE 7</w:t>
      </w:r>
      <w:r w:rsidRPr="00E93AE1">
        <w:rPr>
          <w:b/>
          <w:bCs/>
          <w:color w:val="0D0D0D" w:themeColor="text1" w:themeTint="F2"/>
          <w:vertAlign w:val="superscript"/>
        </w:rPr>
        <w:t>TH</w:t>
      </w:r>
      <w:r w:rsidRPr="00E93AE1">
        <w:rPr>
          <w:b/>
          <w:bCs/>
          <w:color w:val="0D0D0D" w:themeColor="text1" w:themeTint="F2"/>
        </w:rPr>
        <w:t xml:space="preserve"> INTERNATIONAL CONSULTATION ON INCONTINENCE </w:t>
      </w:r>
    </w:p>
    <w:p w14:paraId="1E95DF4F" w14:textId="77777777" w:rsidR="00025194" w:rsidRDefault="00025194" w:rsidP="00025194">
      <w:pPr>
        <w:spacing w:before="100" w:beforeAutospacing="1" w:after="100" w:afterAutospacing="1"/>
        <w:rPr>
          <w:b/>
          <w:bCs/>
          <w:color w:val="FF0000"/>
        </w:rPr>
      </w:pPr>
      <w:r w:rsidRPr="00025194">
        <w:rPr>
          <w:b/>
          <w:bCs/>
          <w:color w:val="FF0000"/>
        </w:rPr>
        <w:t>Deadline for receipt of completed, and correct, application forms: 31 OCTOBER 2018</w:t>
      </w:r>
    </w:p>
    <w:p w14:paraId="76A4AF1D" w14:textId="77777777" w:rsidR="00F71722" w:rsidRPr="004B765C" w:rsidRDefault="00F71722" w:rsidP="00025194">
      <w:pPr>
        <w:spacing w:before="100" w:beforeAutospacing="1" w:after="100" w:afterAutospacing="1"/>
        <w:rPr>
          <w:color w:val="FF0000"/>
        </w:rPr>
      </w:pPr>
      <w:r w:rsidRPr="004B765C">
        <w:rPr>
          <w:color w:val="FF0000"/>
        </w:rPr>
        <w:t xml:space="preserve">Send all completed forms, </w:t>
      </w:r>
      <w:r w:rsidRPr="004B765C">
        <w:rPr>
          <w:i/>
          <w:iCs/>
          <w:color w:val="FF0000"/>
        </w:rPr>
        <w:t>in Word format</w:t>
      </w:r>
      <w:r w:rsidRPr="004B765C">
        <w:rPr>
          <w:color w:val="FF0000"/>
        </w:rPr>
        <w:t xml:space="preserve">, to </w:t>
      </w:r>
      <w:hyperlink r:id="rId10" w:history="1">
        <w:r w:rsidRPr="004B765C">
          <w:rPr>
            <w:rStyle w:val="Hyperlink"/>
            <w:color w:val="FF0000"/>
          </w:rPr>
          <w:t>info@ics.org</w:t>
        </w:r>
      </w:hyperlink>
      <w:r w:rsidRPr="004B765C">
        <w:rPr>
          <w:color w:val="FF0000"/>
        </w:rPr>
        <w:t xml:space="preserve"> (confirmation of safe receipt will be provided)</w:t>
      </w:r>
      <w:r w:rsidR="004B765C">
        <w:rPr>
          <w:color w:val="FF0000"/>
        </w:rPr>
        <w:t xml:space="preserve">. It is important to only mark one committee choice and to not exceed the word limits, where stated. </w:t>
      </w:r>
    </w:p>
    <w:p w14:paraId="26DEEE70" w14:textId="77777777" w:rsidR="00F71722" w:rsidRPr="00F71722" w:rsidRDefault="00F71722" w:rsidP="00025194">
      <w:pPr>
        <w:spacing w:before="100" w:beforeAutospacing="1" w:after="100" w:afterAutospacing="1"/>
        <w:rPr>
          <w:color w:val="0D0D0D" w:themeColor="text1" w:themeTint="F2"/>
        </w:rPr>
      </w:pPr>
      <w:r>
        <w:rPr>
          <w:color w:val="0D0D0D" w:themeColor="text1" w:themeTint="F2"/>
        </w:rPr>
        <w:t xml:space="preserve">The formal invitation letter for applications is attached, for reference, at </w:t>
      </w:r>
      <w:r w:rsidRPr="000F76A5">
        <w:rPr>
          <w:i/>
          <w:iCs/>
          <w:color w:val="0D0D0D" w:themeColor="text1" w:themeTint="F2"/>
        </w:rPr>
        <w:t>Appendix A</w:t>
      </w:r>
    </w:p>
    <w:tbl>
      <w:tblPr>
        <w:tblStyle w:val="TableGrid"/>
        <w:tblW w:w="0" w:type="auto"/>
        <w:tblLook w:val="04A0" w:firstRow="1" w:lastRow="0" w:firstColumn="1" w:lastColumn="0" w:noHBand="0" w:noVBand="1"/>
      </w:tblPr>
      <w:tblGrid>
        <w:gridCol w:w="9016"/>
      </w:tblGrid>
      <w:tr w:rsidR="009F3F48" w14:paraId="4E7C2F7B" w14:textId="77777777" w:rsidTr="009F3F48">
        <w:tc>
          <w:tcPr>
            <w:tcW w:w="9016" w:type="dxa"/>
          </w:tcPr>
          <w:p w14:paraId="516DFEC0" w14:textId="77777777" w:rsidR="009F3F48" w:rsidRPr="00E93AE1" w:rsidRDefault="009F3F48" w:rsidP="00E93AE1">
            <w:pPr>
              <w:spacing w:before="100" w:beforeAutospacing="1" w:after="100" w:afterAutospacing="1"/>
              <w:rPr>
                <w:b/>
                <w:bCs/>
                <w:color w:val="0D0D0D" w:themeColor="text1" w:themeTint="F2"/>
              </w:rPr>
            </w:pPr>
            <w:r w:rsidRPr="00E93AE1">
              <w:rPr>
                <w:b/>
                <w:bCs/>
                <w:color w:val="0D0D0D" w:themeColor="text1" w:themeTint="F2"/>
              </w:rPr>
              <w:t xml:space="preserve">Name: </w:t>
            </w:r>
          </w:p>
          <w:p w14:paraId="03D2F135" w14:textId="77777777" w:rsidR="009F3F48" w:rsidRDefault="009F3F48" w:rsidP="009F3F48">
            <w:pPr>
              <w:pStyle w:val="m3957128453788446593msolistparagraph"/>
              <w:rPr>
                <w:color w:val="1F497D"/>
              </w:rPr>
            </w:pPr>
          </w:p>
        </w:tc>
      </w:tr>
      <w:tr w:rsidR="009F3F48" w14:paraId="43A3E62B" w14:textId="77777777" w:rsidTr="009F3F48">
        <w:tc>
          <w:tcPr>
            <w:tcW w:w="9016" w:type="dxa"/>
          </w:tcPr>
          <w:p w14:paraId="0D36687D" w14:textId="77777777" w:rsidR="009F3F48" w:rsidRPr="00E93AE1" w:rsidRDefault="009F3F48" w:rsidP="00E93AE1">
            <w:pPr>
              <w:spacing w:before="100" w:beforeAutospacing="1" w:after="100" w:afterAutospacing="1"/>
              <w:rPr>
                <w:b/>
                <w:bCs/>
                <w:color w:val="0D0D0D" w:themeColor="text1" w:themeTint="F2"/>
              </w:rPr>
            </w:pPr>
            <w:r w:rsidRPr="00E93AE1">
              <w:rPr>
                <w:b/>
                <w:bCs/>
                <w:color w:val="0D0D0D" w:themeColor="text1" w:themeTint="F2"/>
              </w:rPr>
              <w:t>Professional position:</w:t>
            </w:r>
          </w:p>
          <w:p w14:paraId="7B533EFA" w14:textId="77777777" w:rsidR="009F3F48" w:rsidRDefault="009F3F48" w:rsidP="009F3F48">
            <w:pPr>
              <w:pStyle w:val="m3957128453788446593msolistparagraph"/>
              <w:rPr>
                <w:color w:val="1F497D"/>
              </w:rPr>
            </w:pPr>
          </w:p>
        </w:tc>
      </w:tr>
      <w:tr w:rsidR="009F3F48" w14:paraId="08A122A9" w14:textId="77777777" w:rsidTr="009F3F48">
        <w:tc>
          <w:tcPr>
            <w:tcW w:w="9016" w:type="dxa"/>
          </w:tcPr>
          <w:p w14:paraId="01C1E873" w14:textId="77777777" w:rsidR="009F3F48" w:rsidRPr="00E93AE1" w:rsidRDefault="009F3F48" w:rsidP="00E93AE1">
            <w:pPr>
              <w:spacing w:before="100" w:beforeAutospacing="1" w:after="100" w:afterAutospacing="1"/>
              <w:rPr>
                <w:b/>
                <w:bCs/>
                <w:color w:val="0D0D0D" w:themeColor="text1" w:themeTint="F2"/>
              </w:rPr>
            </w:pPr>
            <w:r w:rsidRPr="00E93AE1">
              <w:rPr>
                <w:b/>
                <w:bCs/>
                <w:color w:val="0D0D0D" w:themeColor="text1" w:themeTint="F2"/>
              </w:rPr>
              <w:t>Specialty:</w:t>
            </w:r>
          </w:p>
          <w:p w14:paraId="06FF3BAD" w14:textId="77777777" w:rsidR="009F3F48" w:rsidRPr="00E93AE1" w:rsidRDefault="009F3F48" w:rsidP="009F3F48">
            <w:pPr>
              <w:pStyle w:val="m3957128453788446593msolistparagraph"/>
              <w:rPr>
                <w:b/>
                <w:bCs/>
                <w:color w:val="0D0D0D" w:themeColor="text1" w:themeTint="F2"/>
              </w:rPr>
            </w:pPr>
          </w:p>
        </w:tc>
      </w:tr>
      <w:tr w:rsidR="009F3F48" w14:paraId="5E4563BD" w14:textId="77777777" w:rsidTr="009F3F48">
        <w:tc>
          <w:tcPr>
            <w:tcW w:w="9016" w:type="dxa"/>
          </w:tcPr>
          <w:p w14:paraId="28BB6A74" w14:textId="77777777" w:rsidR="009F3F48" w:rsidRPr="00E93AE1" w:rsidRDefault="009F3F48" w:rsidP="00E93AE1">
            <w:pPr>
              <w:spacing w:before="100" w:beforeAutospacing="1" w:after="100" w:afterAutospacing="1"/>
              <w:rPr>
                <w:b/>
                <w:bCs/>
                <w:color w:val="0D0D0D" w:themeColor="text1" w:themeTint="F2"/>
              </w:rPr>
            </w:pPr>
            <w:r w:rsidRPr="00E93AE1">
              <w:rPr>
                <w:b/>
                <w:bCs/>
                <w:color w:val="0D0D0D" w:themeColor="text1" w:themeTint="F2"/>
              </w:rPr>
              <w:t xml:space="preserve">Institution: </w:t>
            </w:r>
          </w:p>
          <w:p w14:paraId="38EFB026" w14:textId="77777777" w:rsidR="009F3F48" w:rsidRPr="00E93AE1" w:rsidRDefault="009F3F48" w:rsidP="00E93AE1">
            <w:pPr>
              <w:spacing w:before="100" w:beforeAutospacing="1" w:after="100" w:afterAutospacing="1"/>
              <w:rPr>
                <w:b/>
                <w:bCs/>
                <w:color w:val="0D0D0D" w:themeColor="text1" w:themeTint="F2"/>
              </w:rPr>
            </w:pPr>
          </w:p>
        </w:tc>
      </w:tr>
      <w:tr w:rsidR="009F3F48" w14:paraId="7F089D23" w14:textId="77777777" w:rsidTr="009F3F48">
        <w:tc>
          <w:tcPr>
            <w:tcW w:w="9016" w:type="dxa"/>
          </w:tcPr>
          <w:p w14:paraId="271043DF" w14:textId="77777777" w:rsidR="009F3F48" w:rsidRPr="00E93AE1" w:rsidRDefault="009F3F48" w:rsidP="00E93AE1">
            <w:pPr>
              <w:spacing w:before="100" w:beforeAutospacing="1" w:after="100" w:afterAutospacing="1"/>
              <w:rPr>
                <w:b/>
                <w:bCs/>
                <w:color w:val="0D0D0D" w:themeColor="text1" w:themeTint="F2"/>
              </w:rPr>
            </w:pPr>
            <w:r w:rsidRPr="00E93AE1">
              <w:rPr>
                <w:b/>
                <w:bCs/>
                <w:color w:val="0D0D0D" w:themeColor="text1" w:themeTint="F2"/>
              </w:rPr>
              <w:t>Country of residence</w:t>
            </w:r>
            <w:r w:rsidR="004B765C">
              <w:rPr>
                <w:b/>
                <w:bCs/>
                <w:color w:val="0D0D0D" w:themeColor="text1" w:themeTint="F2"/>
              </w:rPr>
              <w:t>:</w:t>
            </w:r>
          </w:p>
          <w:p w14:paraId="36087F4E" w14:textId="77777777" w:rsidR="009F3F48" w:rsidRPr="00E93AE1" w:rsidRDefault="009F3F48" w:rsidP="00E93AE1">
            <w:pPr>
              <w:spacing w:before="100" w:beforeAutospacing="1" w:after="100" w:afterAutospacing="1"/>
              <w:rPr>
                <w:b/>
                <w:bCs/>
                <w:color w:val="0D0D0D" w:themeColor="text1" w:themeTint="F2"/>
              </w:rPr>
            </w:pPr>
          </w:p>
        </w:tc>
      </w:tr>
      <w:tr w:rsidR="009F3F48" w14:paraId="2EEFBA17" w14:textId="77777777" w:rsidTr="009F3F48">
        <w:tc>
          <w:tcPr>
            <w:tcW w:w="9016" w:type="dxa"/>
          </w:tcPr>
          <w:p w14:paraId="088144B3" w14:textId="77777777" w:rsidR="009F3F48" w:rsidRPr="00E93AE1" w:rsidRDefault="009F3F48" w:rsidP="00E93AE1">
            <w:pPr>
              <w:spacing w:before="100" w:beforeAutospacing="1" w:after="100" w:afterAutospacing="1"/>
              <w:rPr>
                <w:b/>
                <w:bCs/>
                <w:color w:val="0D0D0D" w:themeColor="text1" w:themeTint="F2"/>
              </w:rPr>
            </w:pPr>
            <w:r w:rsidRPr="00E93AE1">
              <w:rPr>
                <w:b/>
                <w:bCs/>
                <w:color w:val="0D0D0D" w:themeColor="text1" w:themeTint="F2"/>
              </w:rPr>
              <w:t>Email address</w:t>
            </w:r>
            <w:r w:rsidR="004B765C">
              <w:rPr>
                <w:b/>
                <w:bCs/>
                <w:color w:val="0D0D0D" w:themeColor="text1" w:themeTint="F2"/>
              </w:rPr>
              <w:t>:</w:t>
            </w:r>
          </w:p>
          <w:p w14:paraId="6235399A" w14:textId="77777777" w:rsidR="009F3F48" w:rsidRPr="00E93AE1" w:rsidRDefault="009F3F48" w:rsidP="00E93AE1">
            <w:pPr>
              <w:spacing w:before="100" w:beforeAutospacing="1" w:after="100" w:afterAutospacing="1"/>
              <w:rPr>
                <w:b/>
                <w:bCs/>
                <w:color w:val="0D0D0D" w:themeColor="text1" w:themeTint="F2"/>
              </w:rPr>
            </w:pPr>
          </w:p>
        </w:tc>
      </w:tr>
    </w:tbl>
    <w:p w14:paraId="3DC2C279" w14:textId="77777777" w:rsidR="009F3F48" w:rsidRPr="00E93AE1" w:rsidRDefault="009F3F48" w:rsidP="00E93AE1">
      <w:pPr>
        <w:spacing w:before="100" w:beforeAutospacing="1" w:after="100" w:afterAutospacing="1"/>
        <w:rPr>
          <w:b/>
          <w:bCs/>
          <w:color w:val="0D0D0D" w:themeColor="text1" w:themeTint="F2"/>
        </w:rPr>
      </w:pPr>
      <w:r w:rsidRPr="00E93AE1">
        <w:rPr>
          <w:b/>
          <w:bCs/>
          <w:color w:val="0D0D0D" w:themeColor="text1" w:themeTint="F2"/>
        </w:rPr>
        <w:t>Which Committee do you wish to apply to?</w:t>
      </w:r>
    </w:p>
    <w:tbl>
      <w:tblPr>
        <w:tblStyle w:val="TableGrid"/>
        <w:tblW w:w="0" w:type="auto"/>
        <w:tblInd w:w="720" w:type="dxa"/>
        <w:tblLook w:val="04A0" w:firstRow="1" w:lastRow="0" w:firstColumn="1" w:lastColumn="0" w:noHBand="0" w:noVBand="1"/>
      </w:tblPr>
      <w:tblGrid>
        <w:gridCol w:w="1685"/>
        <w:gridCol w:w="6611"/>
      </w:tblGrid>
      <w:tr w:rsidR="009F3F48" w:rsidRPr="009F3F48" w14:paraId="7F7CB7A0" w14:textId="77777777" w:rsidTr="009F3F48">
        <w:tc>
          <w:tcPr>
            <w:tcW w:w="1685" w:type="dxa"/>
          </w:tcPr>
          <w:p w14:paraId="73AB65AF" w14:textId="77777777" w:rsidR="009F3F48" w:rsidRPr="009F3F48" w:rsidRDefault="009F3F48" w:rsidP="009F3F48">
            <w:pPr>
              <w:rPr>
                <w:b/>
                <w:bCs/>
                <w:sz w:val="20"/>
                <w:szCs w:val="20"/>
              </w:rPr>
            </w:pPr>
            <w:r w:rsidRPr="00E93AE1">
              <w:rPr>
                <w:b/>
                <w:bCs/>
                <w:color w:val="FF0000"/>
                <w:sz w:val="20"/>
                <w:szCs w:val="20"/>
              </w:rPr>
              <w:t>MARK ONE ONLY</w:t>
            </w:r>
          </w:p>
        </w:tc>
        <w:tc>
          <w:tcPr>
            <w:tcW w:w="6611" w:type="dxa"/>
          </w:tcPr>
          <w:p w14:paraId="1168E097" w14:textId="77777777" w:rsidR="009F3F48" w:rsidRPr="009F3F48" w:rsidRDefault="009F3F48" w:rsidP="009F3F48">
            <w:pPr>
              <w:ind w:left="360"/>
              <w:rPr>
                <w:b/>
                <w:bCs/>
              </w:rPr>
            </w:pPr>
            <w:r w:rsidRPr="009F3F48">
              <w:rPr>
                <w:b/>
                <w:bCs/>
              </w:rPr>
              <w:t>Chapter Committees</w:t>
            </w:r>
          </w:p>
        </w:tc>
      </w:tr>
      <w:tr w:rsidR="009F3F48" w:rsidRPr="009F3F48" w14:paraId="6FB1B1FF" w14:textId="77777777" w:rsidTr="009F3F48">
        <w:tc>
          <w:tcPr>
            <w:tcW w:w="1685" w:type="dxa"/>
          </w:tcPr>
          <w:p w14:paraId="6E9D6CDC" w14:textId="77777777" w:rsidR="009F3F48" w:rsidRPr="009F3F48" w:rsidRDefault="009F3F48" w:rsidP="009F3F48">
            <w:pPr>
              <w:jc w:val="center"/>
            </w:pPr>
          </w:p>
        </w:tc>
        <w:tc>
          <w:tcPr>
            <w:tcW w:w="6611" w:type="dxa"/>
          </w:tcPr>
          <w:p w14:paraId="286617F4" w14:textId="77777777" w:rsidR="009F3F48" w:rsidRPr="009F3F48" w:rsidRDefault="009F3F48" w:rsidP="009F3F48">
            <w:pPr>
              <w:ind w:left="360"/>
            </w:pPr>
            <w:r w:rsidRPr="009F3F48">
              <w:t>Epidemiology</w:t>
            </w:r>
          </w:p>
        </w:tc>
      </w:tr>
      <w:tr w:rsidR="009F3F48" w:rsidRPr="009F3F48" w14:paraId="15D37A07" w14:textId="77777777" w:rsidTr="009F3F48">
        <w:tc>
          <w:tcPr>
            <w:tcW w:w="1685" w:type="dxa"/>
          </w:tcPr>
          <w:p w14:paraId="0F0672FC" w14:textId="77777777" w:rsidR="009F3F48" w:rsidRPr="009F3F48" w:rsidRDefault="009F3F48" w:rsidP="00E93AE1">
            <w:pPr>
              <w:jc w:val="center"/>
            </w:pPr>
          </w:p>
        </w:tc>
        <w:tc>
          <w:tcPr>
            <w:tcW w:w="6611" w:type="dxa"/>
          </w:tcPr>
          <w:p w14:paraId="0575DE08" w14:textId="77777777" w:rsidR="009F3F48" w:rsidRPr="009F3F48" w:rsidRDefault="009F3F48" w:rsidP="009F3F48">
            <w:pPr>
              <w:ind w:left="360"/>
            </w:pPr>
            <w:r w:rsidRPr="009F3F48">
              <w:t>Cell Biology</w:t>
            </w:r>
            <w:r w:rsidRPr="009F3F48">
              <w:rPr>
                <w:color w:val="000000"/>
              </w:rPr>
              <w:t xml:space="preserve"> and Neural Control</w:t>
            </w:r>
          </w:p>
        </w:tc>
      </w:tr>
      <w:tr w:rsidR="009F3F48" w:rsidRPr="009F3F48" w14:paraId="2DB8C7D6" w14:textId="77777777" w:rsidTr="009F3F48">
        <w:tc>
          <w:tcPr>
            <w:tcW w:w="1685" w:type="dxa"/>
          </w:tcPr>
          <w:p w14:paraId="6CFD1CF5" w14:textId="77777777" w:rsidR="009F3F48" w:rsidRPr="009F3F48" w:rsidRDefault="009F3F48" w:rsidP="00E93AE1">
            <w:pPr>
              <w:jc w:val="center"/>
            </w:pPr>
          </w:p>
        </w:tc>
        <w:tc>
          <w:tcPr>
            <w:tcW w:w="6611" w:type="dxa"/>
          </w:tcPr>
          <w:p w14:paraId="454CC89B" w14:textId="77777777" w:rsidR="009F3F48" w:rsidRPr="009F3F48" w:rsidRDefault="009F3F48" w:rsidP="009F3F48">
            <w:pPr>
              <w:ind w:left="360"/>
            </w:pPr>
            <w:r w:rsidRPr="009F3F48">
              <w:t xml:space="preserve">Pathophysiology of UI, FI and POP </w:t>
            </w:r>
          </w:p>
        </w:tc>
      </w:tr>
      <w:tr w:rsidR="009F3F48" w:rsidRPr="009F3F48" w14:paraId="6B9977F9" w14:textId="77777777" w:rsidTr="009F3F48">
        <w:tc>
          <w:tcPr>
            <w:tcW w:w="1685" w:type="dxa"/>
          </w:tcPr>
          <w:p w14:paraId="24D73B4E" w14:textId="77777777" w:rsidR="009F3F48" w:rsidRPr="009F3F48" w:rsidRDefault="009F3F48" w:rsidP="00E93AE1">
            <w:pPr>
              <w:jc w:val="center"/>
            </w:pPr>
          </w:p>
        </w:tc>
        <w:tc>
          <w:tcPr>
            <w:tcW w:w="6611" w:type="dxa"/>
          </w:tcPr>
          <w:p w14:paraId="700ADBA7" w14:textId="77777777" w:rsidR="009F3F48" w:rsidRPr="009F3F48" w:rsidRDefault="009F3F48" w:rsidP="009F3F48">
            <w:pPr>
              <w:ind w:left="360"/>
            </w:pPr>
            <w:r w:rsidRPr="009F3F48">
              <w:t>Initial assessment of UI including PROMs</w:t>
            </w:r>
          </w:p>
        </w:tc>
      </w:tr>
      <w:tr w:rsidR="009F3F48" w:rsidRPr="009F3F48" w14:paraId="44223FFF" w14:textId="77777777" w:rsidTr="009F3F48">
        <w:tc>
          <w:tcPr>
            <w:tcW w:w="1685" w:type="dxa"/>
          </w:tcPr>
          <w:p w14:paraId="799C7148" w14:textId="77777777" w:rsidR="009F3F48" w:rsidRPr="009F3F48" w:rsidRDefault="009F3F48" w:rsidP="00E93AE1">
            <w:pPr>
              <w:jc w:val="center"/>
            </w:pPr>
          </w:p>
        </w:tc>
        <w:tc>
          <w:tcPr>
            <w:tcW w:w="6611" w:type="dxa"/>
          </w:tcPr>
          <w:p w14:paraId="01B2D1AB" w14:textId="77777777" w:rsidR="009F3F48" w:rsidRPr="009F3F48" w:rsidRDefault="009F3F48" w:rsidP="009F3F48">
            <w:pPr>
              <w:ind w:left="360"/>
            </w:pPr>
            <w:r w:rsidRPr="009F3F48">
              <w:t>Urodynamics</w:t>
            </w:r>
          </w:p>
        </w:tc>
      </w:tr>
      <w:tr w:rsidR="009F3F48" w:rsidRPr="009F3F48" w14:paraId="407AFD43" w14:textId="77777777" w:rsidTr="009F3F48">
        <w:tc>
          <w:tcPr>
            <w:tcW w:w="1685" w:type="dxa"/>
          </w:tcPr>
          <w:p w14:paraId="70FE004A" w14:textId="77777777" w:rsidR="009F3F48" w:rsidRPr="009F3F48" w:rsidRDefault="009F3F48" w:rsidP="00E93AE1">
            <w:pPr>
              <w:jc w:val="center"/>
            </w:pPr>
          </w:p>
        </w:tc>
        <w:tc>
          <w:tcPr>
            <w:tcW w:w="6611" w:type="dxa"/>
          </w:tcPr>
          <w:p w14:paraId="5B5E01E1" w14:textId="77777777" w:rsidR="009F3F48" w:rsidRPr="009F3F48" w:rsidRDefault="009F3F48" w:rsidP="009F3F48">
            <w:pPr>
              <w:ind w:left="360"/>
            </w:pPr>
            <w:r w:rsidRPr="009F3F48">
              <w:t xml:space="preserve">Imaging and other tests </w:t>
            </w:r>
          </w:p>
        </w:tc>
      </w:tr>
      <w:tr w:rsidR="009F3F48" w:rsidRPr="009F3F48" w14:paraId="3D60EC3C" w14:textId="77777777" w:rsidTr="009F3F48">
        <w:tc>
          <w:tcPr>
            <w:tcW w:w="1685" w:type="dxa"/>
          </w:tcPr>
          <w:p w14:paraId="4952DC17" w14:textId="77777777" w:rsidR="009F3F48" w:rsidRPr="009F3F48" w:rsidRDefault="009F3F48" w:rsidP="00E93AE1">
            <w:pPr>
              <w:jc w:val="center"/>
            </w:pPr>
          </w:p>
        </w:tc>
        <w:tc>
          <w:tcPr>
            <w:tcW w:w="6611" w:type="dxa"/>
          </w:tcPr>
          <w:p w14:paraId="0AD235A7" w14:textId="77777777" w:rsidR="009F3F48" w:rsidRPr="009F3F48" w:rsidRDefault="009F3F48" w:rsidP="009F3F48">
            <w:pPr>
              <w:ind w:left="360"/>
            </w:pPr>
            <w:r w:rsidRPr="009F3F48">
              <w:t xml:space="preserve">Pharmacology  </w:t>
            </w:r>
          </w:p>
        </w:tc>
      </w:tr>
      <w:tr w:rsidR="009F3F48" w:rsidRPr="009F3F48" w14:paraId="7873B2F8" w14:textId="77777777" w:rsidTr="009F3F48">
        <w:tc>
          <w:tcPr>
            <w:tcW w:w="1685" w:type="dxa"/>
          </w:tcPr>
          <w:p w14:paraId="4A5385D9" w14:textId="77777777" w:rsidR="009F3F48" w:rsidRPr="009F3F48" w:rsidRDefault="009F3F48" w:rsidP="00E93AE1">
            <w:pPr>
              <w:jc w:val="center"/>
            </w:pPr>
          </w:p>
        </w:tc>
        <w:tc>
          <w:tcPr>
            <w:tcW w:w="6611" w:type="dxa"/>
          </w:tcPr>
          <w:p w14:paraId="0142BDB0" w14:textId="77777777" w:rsidR="009F3F48" w:rsidRPr="009F3F48" w:rsidRDefault="009F3F48" w:rsidP="009F3F48">
            <w:pPr>
              <w:ind w:left="360"/>
            </w:pPr>
            <w:r w:rsidRPr="009F3F48">
              <w:t xml:space="preserve">UI in Children and Adolescent </w:t>
            </w:r>
          </w:p>
        </w:tc>
      </w:tr>
      <w:tr w:rsidR="009F3F48" w:rsidRPr="009F3F48" w14:paraId="412BEC35" w14:textId="77777777" w:rsidTr="009F3F48">
        <w:tc>
          <w:tcPr>
            <w:tcW w:w="1685" w:type="dxa"/>
          </w:tcPr>
          <w:p w14:paraId="09A5D07B" w14:textId="77777777" w:rsidR="009F3F48" w:rsidRPr="009F3F48" w:rsidRDefault="009F3F48" w:rsidP="00E93AE1">
            <w:pPr>
              <w:jc w:val="center"/>
            </w:pPr>
          </w:p>
        </w:tc>
        <w:tc>
          <w:tcPr>
            <w:tcW w:w="6611" w:type="dxa"/>
          </w:tcPr>
          <w:p w14:paraId="393BAB6B" w14:textId="77777777" w:rsidR="009F3F48" w:rsidRPr="009F3F48" w:rsidRDefault="009F3F48" w:rsidP="009F3F48">
            <w:pPr>
              <w:ind w:left="360"/>
            </w:pPr>
            <w:r w:rsidRPr="009F3F48">
              <w:t>Incontinence in Frail Older Persons</w:t>
            </w:r>
          </w:p>
        </w:tc>
      </w:tr>
      <w:tr w:rsidR="009F3F48" w:rsidRPr="009F3F48" w14:paraId="3BD389F6" w14:textId="77777777" w:rsidTr="009F3F48">
        <w:tc>
          <w:tcPr>
            <w:tcW w:w="1685" w:type="dxa"/>
          </w:tcPr>
          <w:p w14:paraId="4D1179E8" w14:textId="77777777" w:rsidR="009F3F48" w:rsidRPr="009F3F48" w:rsidRDefault="009F3F48" w:rsidP="00E93AE1">
            <w:pPr>
              <w:jc w:val="center"/>
            </w:pPr>
          </w:p>
        </w:tc>
        <w:tc>
          <w:tcPr>
            <w:tcW w:w="6611" w:type="dxa"/>
          </w:tcPr>
          <w:p w14:paraId="327E8C27" w14:textId="77777777" w:rsidR="009F3F48" w:rsidRPr="009F3F48" w:rsidRDefault="009F3F48" w:rsidP="009F3F48">
            <w:pPr>
              <w:ind w:left="360"/>
            </w:pPr>
            <w:r w:rsidRPr="009F3F48">
              <w:t>Conservative Management of UI and POP in Adults</w:t>
            </w:r>
          </w:p>
        </w:tc>
      </w:tr>
      <w:tr w:rsidR="009F3F48" w:rsidRPr="009F3F48" w14:paraId="39CDA6B1" w14:textId="77777777" w:rsidTr="009F3F48">
        <w:tc>
          <w:tcPr>
            <w:tcW w:w="1685" w:type="dxa"/>
          </w:tcPr>
          <w:p w14:paraId="3D607B62" w14:textId="77777777" w:rsidR="009F3F48" w:rsidRPr="009F3F48" w:rsidRDefault="009F3F48" w:rsidP="00E93AE1">
            <w:pPr>
              <w:jc w:val="center"/>
            </w:pPr>
          </w:p>
        </w:tc>
        <w:tc>
          <w:tcPr>
            <w:tcW w:w="6611" w:type="dxa"/>
          </w:tcPr>
          <w:p w14:paraId="396A3059" w14:textId="77777777" w:rsidR="009F3F48" w:rsidRPr="009F3F48" w:rsidRDefault="009F3F48" w:rsidP="009F3F48">
            <w:pPr>
              <w:ind w:left="360"/>
            </w:pPr>
            <w:r w:rsidRPr="009F3F48">
              <w:t>Surgery for male UI</w:t>
            </w:r>
          </w:p>
        </w:tc>
      </w:tr>
      <w:tr w:rsidR="009F3F48" w:rsidRPr="009F3F48" w14:paraId="4F86FE19" w14:textId="77777777" w:rsidTr="009F3F48">
        <w:tc>
          <w:tcPr>
            <w:tcW w:w="1685" w:type="dxa"/>
          </w:tcPr>
          <w:p w14:paraId="21809E68" w14:textId="77777777" w:rsidR="009F3F48" w:rsidRPr="009F3F48" w:rsidRDefault="009F3F48" w:rsidP="00E93AE1">
            <w:pPr>
              <w:jc w:val="center"/>
            </w:pPr>
          </w:p>
        </w:tc>
        <w:tc>
          <w:tcPr>
            <w:tcW w:w="6611" w:type="dxa"/>
          </w:tcPr>
          <w:p w14:paraId="5E49C7E8" w14:textId="77777777" w:rsidR="009F3F48" w:rsidRPr="009F3F48" w:rsidRDefault="009F3F48" w:rsidP="009F3F48">
            <w:pPr>
              <w:ind w:left="360"/>
            </w:pPr>
            <w:r w:rsidRPr="009F3F48">
              <w:t>Surgery for female UI</w:t>
            </w:r>
          </w:p>
        </w:tc>
      </w:tr>
      <w:tr w:rsidR="009F3F48" w:rsidRPr="009F3F48" w14:paraId="7DF4B9FA" w14:textId="77777777" w:rsidTr="009F3F48">
        <w:tc>
          <w:tcPr>
            <w:tcW w:w="1685" w:type="dxa"/>
          </w:tcPr>
          <w:p w14:paraId="08CEF7BA" w14:textId="77777777" w:rsidR="009F3F48" w:rsidRPr="009F3F48" w:rsidRDefault="009F3F48" w:rsidP="00E93AE1">
            <w:pPr>
              <w:jc w:val="center"/>
            </w:pPr>
          </w:p>
        </w:tc>
        <w:tc>
          <w:tcPr>
            <w:tcW w:w="6611" w:type="dxa"/>
          </w:tcPr>
          <w:p w14:paraId="07024A9A" w14:textId="77777777" w:rsidR="009F3F48" w:rsidRPr="009F3F48" w:rsidRDefault="009F3F48" w:rsidP="009F3F48">
            <w:pPr>
              <w:ind w:left="360"/>
            </w:pPr>
            <w:r w:rsidRPr="009F3F48">
              <w:t xml:space="preserve">Surgery for Neurological UI   </w:t>
            </w:r>
          </w:p>
        </w:tc>
      </w:tr>
      <w:tr w:rsidR="009F3F48" w:rsidRPr="009F3F48" w14:paraId="7D390763" w14:textId="77777777" w:rsidTr="009F3F48">
        <w:tc>
          <w:tcPr>
            <w:tcW w:w="1685" w:type="dxa"/>
          </w:tcPr>
          <w:p w14:paraId="308FA954" w14:textId="77777777" w:rsidR="009F3F48" w:rsidRPr="009F3F48" w:rsidRDefault="009F3F48" w:rsidP="00E93AE1">
            <w:pPr>
              <w:jc w:val="center"/>
            </w:pPr>
          </w:p>
        </w:tc>
        <w:tc>
          <w:tcPr>
            <w:tcW w:w="6611" w:type="dxa"/>
          </w:tcPr>
          <w:p w14:paraId="125FB896" w14:textId="77777777" w:rsidR="009F3F48" w:rsidRPr="009F3F48" w:rsidRDefault="009F3F48" w:rsidP="009F3F48">
            <w:pPr>
              <w:ind w:left="360"/>
            </w:pPr>
            <w:r w:rsidRPr="009F3F48">
              <w:t>Surgical Management of POP</w:t>
            </w:r>
          </w:p>
        </w:tc>
      </w:tr>
      <w:tr w:rsidR="009F3F48" w:rsidRPr="009F3F48" w14:paraId="1F08ED2B" w14:textId="77777777" w:rsidTr="009F3F48">
        <w:tc>
          <w:tcPr>
            <w:tcW w:w="1685" w:type="dxa"/>
          </w:tcPr>
          <w:p w14:paraId="0FDD6A50" w14:textId="77777777" w:rsidR="009F3F48" w:rsidRPr="009F3F48" w:rsidRDefault="009F3F48" w:rsidP="009F3F48">
            <w:pPr>
              <w:jc w:val="center"/>
            </w:pPr>
          </w:p>
        </w:tc>
        <w:tc>
          <w:tcPr>
            <w:tcW w:w="6611" w:type="dxa"/>
          </w:tcPr>
          <w:p w14:paraId="3C443097" w14:textId="77777777" w:rsidR="009F3F48" w:rsidRPr="009F3F48" w:rsidRDefault="009F3F48" w:rsidP="009F3F48">
            <w:pPr>
              <w:ind w:left="360"/>
            </w:pPr>
            <w:r w:rsidRPr="009F3F48">
              <w:t xml:space="preserve">Assessment and Conservative Management of FI, </w:t>
            </w:r>
            <w:proofErr w:type="gramStart"/>
            <w:r w:rsidRPr="009F3F48">
              <w:t>including  neurological</w:t>
            </w:r>
            <w:proofErr w:type="gramEnd"/>
            <w:r w:rsidRPr="009F3F48">
              <w:t xml:space="preserve"> patients </w:t>
            </w:r>
          </w:p>
        </w:tc>
      </w:tr>
      <w:tr w:rsidR="009F3F48" w:rsidRPr="009F3F48" w14:paraId="1E4137C5" w14:textId="77777777" w:rsidTr="009F3F48">
        <w:tc>
          <w:tcPr>
            <w:tcW w:w="1685" w:type="dxa"/>
          </w:tcPr>
          <w:p w14:paraId="347F5C12" w14:textId="77777777" w:rsidR="009F3F48" w:rsidRPr="009F3F48" w:rsidRDefault="009F3F48" w:rsidP="009F3F48">
            <w:pPr>
              <w:jc w:val="center"/>
            </w:pPr>
          </w:p>
        </w:tc>
        <w:tc>
          <w:tcPr>
            <w:tcW w:w="6611" w:type="dxa"/>
          </w:tcPr>
          <w:p w14:paraId="14FBE307" w14:textId="77777777" w:rsidR="009F3F48" w:rsidRPr="009F3F48" w:rsidRDefault="009F3F48" w:rsidP="009F3F48">
            <w:pPr>
              <w:ind w:left="360"/>
            </w:pPr>
            <w:r w:rsidRPr="009F3F48">
              <w:t>Surgery for FI</w:t>
            </w:r>
          </w:p>
        </w:tc>
      </w:tr>
      <w:tr w:rsidR="009F3F48" w:rsidRPr="009F3F48" w14:paraId="168958BA" w14:textId="77777777" w:rsidTr="009F3F48">
        <w:tc>
          <w:tcPr>
            <w:tcW w:w="1685" w:type="dxa"/>
          </w:tcPr>
          <w:p w14:paraId="47054B32" w14:textId="77777777" w:rsidR="009F3F48" w:rsidRPr="009F3F48" w:rsidRDefault="009F3F48" w:rsidP="00E93AE1">
            <w:pPr>
              <w:jc w:val="center"/>
            </w:pPr>
          </w:p>
        </w:tc>
        <w:tc>
          <w:tcPr>
            <w:tcW w:w="6611" w:type="dxa"/>
          </w:tcPr>
          <w:p w14:paraId="312293B5" w14:textId="77777777" w:rsidR="009F3F48" w:rsidRPr="009F3F48" w:rsidRDefault="009F3F48" w:rsidP="009F3F48">
            <w:pPr>
              <w:ind w:left="360"/>
            </w:pPr>
            <w:r w:rsidRPr="009F3F48">
              <w:t>Fistulae</w:t>
            </w:r>
          </w:p>
        </w:tc>
      </w:tr>
      <w:tr w:rsidR="009F3F48" w:rsidRPr="009F3F48" w14:paraId="7D4DF946" w14:textId="77777777" w:rsidTr="009F3F48">
        <w:tc>
          <w:tcPr>
            <w:tcW w:w="1685" w:type="dxa"/>
          </w:tcPr>
          <w:p w14:paraId="2E1DA679" w14:textId="77777777" w:rsidR="009F3F48" w:rsidRPr="009F3F48" w:rsidRDefault="009F3F48" w:rsidP="009F3F48">
            <w:pPr>
              <w:jc w:val="center"/>
            </w:pPr>
          </w:p>
        </w:tc>
        <w:tc>
          <w:tcPr>
            <w:tcW w:w="6611" w:type="dxa"/>
          </w:tcPr>
          <w:p w14:paraId="42882DB3" w14:textId="77777777" w:rsidR="009F3F48" w:rsidRPr="009F3F48" w:rsidRDefault="009F3F48" w:rsidP="009F3F48">
            <w:pPr>
              <w:ind w:left="360"/>
            </w:pPr>
            <w:r w:rsidRPr="009F3F48">
              <w:t xml:space="preserve">Bladder Pain Syndrome </w:t>
            </w:r>
          </w:p>
        </w:tc>
      </w:tr>
      <w:tr w:rsidR="009F3F48" w:rsidRPr="009F3F48" w14:paraId="5133E69D" w14:textId="77777777" w:rsidTr="009F3F48">
        <w:tc>
          <w:tcPr>
            <w:tcW w:w="1685" w:type="dxa"/>
          </w:tcPr>
          <w:p w14:paraId="3360FD0C" w14:textId="77777777" w:rsidR="009F3F48" w:rsidRPr="009F3F48" w:rsidRDefault="009F3F48" w:rsidP="00E93AE1">
            <w:pPr>
              <w:jc w:val="center"/>
            </w:pPr>
          </w:p>
        </w:tc>
        <w:tc>
          <w:tcPr>
            <w:tcW w:w="6611" w:type="dxa"/>
          </w:tcPr>
          <w:p w14:paraId="2AD890B3" w14:textId="77777777" w:rsidR="009F3F48" w:rsidRPr="009F3F48" w:rsidRDefault="009F3F48" w:rsidP="009F3F48">
            <w:pPr>
              <w:ind w:left="360"/>
            </w:pPr>
            <w:r w:rsidRPr="009F3F48">
              <w:t>Continence Products</w:t>
            </w:r>
          </w:p>
        </w:tc>
      </w:tr>
      <w:tr w:rsidR="009F3F48" w:rsidRPr="009F3F48" w14:paraId="092F8FB8" w14:textId="77777777" w:rsidTr="009F3F48">
        <w:tc>
          <w:tcPr>
            <w:tcW w:w="1685" w:type="dxa"/>
          </w:tcPr>
          <w:p w14:paraId="4F22E8BB" w14:textId="77777777" w:rsidR="009F3F48" w:rsidRPr="009F3F48" w:rsidRDefault="009F3F48" w:rsidP="00E93AE1">
            <w:pPr>
              <w:jc w:val="center"/>
            </w:pPr>
          </w:p>
        </w:tc>
        <w:tc>
          <w:tcPr>
            <w:tcW w:w="6611" w:type="dxa"/>
          </w:tcPr>
          <w:p w14:paraId="094723A8" w14:textId="77777777" w:rsidR="009F3F48" w:rsidRPr="009F3F48" w:rsidRDefault="009F3F48" w:rsidP="009F3F48">
            <w:pPr>
              <w:ind w:left="360"/>
            </w:pPr>
            <w:r w:rsidRPr="009F3F48">
              <w:t xml:space="preserve">Prevention, Continence Promotion, Models of </w:t>
            </w:r>
            <w:proofErr w:type="gramStart"/>
            <w:r w:rsidRPr="009F3F48">
              <w:t>Care ,</w:t>
            </w:r>
            <w:proofErr w:type="gramEnd"/>
            <w:r w:rsidRPr="009F3F48">
              <w:t xml:space="preserve"> and Education</w:t>
            </w:r>
          </w:p>
        </w:tc>
      </w:tr>
      <w:tr w:rsidR="009F3F48" w:rsidRPr="009F3F48" w14:paraId="610A170A" w14:textId="77777777" w:rsidTr="009F3F48">
        <w:tc>
          <w:tcPr>
            <w:tcW w:w="1685" w:type="dxa"/>
          </w:tcPr>
          <w:p w14:paraId="760CDAFE" w14:textId="77777777" w:rsidR="009F3F48" w:rsidRPr="009F3F48" w:rsidRDefault="009F3F48" w:rsidP="009F3F48">
            <w:pPr>
              <w:jc w:val="center"/>
            </w:pPr>
          </w:p>
        </w:tc>
        <w:tc>
          <w:tcPr>
            <w:tcW w:w="6611" w:type="dxa"/>
          </w:tcPr>
          <w:p w14:paraId="663A2E2B" w14:textId="77777777" w:rsidR="009F3F48" w:rsidRPr="009F3F48" w:rsidRDefault="009F3F48" w:rsidP="009F3F48">
            <w:pPr>
              <w:ind w:left="360"/>
            </w:pPr>
            <w:r w:rsidRPr="009F3F48">
              <w:t>Research</w:t>
            </w:r>
          </w:p>
        </w:tc>
      </w:tr>
      <w:tr w:rsidR="00E04BBA" w:rsidRPr="009F3F48" w14:paraId="6F1168A7" w14:textId="77777777" w:rsidTr="009F3F48">
        <w:tc>
          <w:tcPr>
            <w:tcW w:w="1685" w:type="dxa"/>
          </w:tcPr>
          <w:p w14:paraId="11687B87" w14:textId="77777777" w:rsidR="00E04BBA" w:rsidRPr="009F3F48" w:rsidRDefault="00E04BBA" w:rsidP="009F3F48">
            <w:pPr>
              <w:jc w:val="center"/>
            </w:pPr>
          </w:p>
        </w:tc>
        <w:tc>
          <w:tcPr>
            <w:tcW w:w="6611" w:type="dxa"/>
          </w:tcPr>
          <w:p w14:paraId="7057B040" w14:textId="16EAF5E8" w:rsidR="00E04BBA" w:rsidRPr="009F3F48" w:rsidRDefault="00E04BBA" w:rsidP="009F3F48">
            <w:pPr>
              <w:ind w:left="360"/>
            </w:pPr>
            <w:r w:rsidRPr="00E04BBA">
              <w:t>Neurogenic UI</w:t>
            </w:r>
          </w:p>
        </w:tc>
      </w:tr>
    </w:tbl>
    <w:p w14:paraId="5B22B84B" w14:textId="77777777" w:rsidR="009F3F48" w:rsidRDefault="009F3F48" w:rsidP="009F3F48">
      <w:pPr>
        <w:pStyle w:val="m3957128453788446593msolistparagraph"/>
        <w:rPr>
          <w:color w:val="1F497D"/>
        </w:rPr>
      </w:pPr>
    </w:p>
    <w:tbl>
      <w:tblPr>
        <w:tblStyle w:val="TableGrid"/>
        <w:tblW w:w="0" w:type="auto"/>
        <w:tblLook w:val="04A0" w:firstRow="1" w:lastRow="0" w:firstColumn="1" w:lastColumn="0" w:noHBand="0" w:noVBand="1"/>
      </w:tblPr>
      <w:tblGrid>
        <w:gridCol w:w="9016"/>
      </w:tblGrid>
      <w:tr w:rsidR="00E93AE1" w14:paraId="08A61921" w14:textId="77777777" w:rsidTr="00E93AE1">
        <w:tc>
          <w:tcPr>
            <w:tcW w:w="9016" w:type="dxa"/>
          </w:tcPr>
          <w:p w14:paraId="5E04F108" w14:textId="77777777" w:rsidR="00E93AE1" w:rsidRPr="002C7874" w:rsidRDefault="00E93AE1" w:rsidP="00E93AE1">
            <w:pPr>
              <w:pStyle w:val="m3957128453788446593msolistparagraph"/>
              <w:rPr>
                <w:color w:val="000000"/>
              </w:rPr>
            </w:pPr>
            <w:r w:rsidRPr="00E93AE1">
              <w:rPr>
                <w:b/>
                <w:bCs/>
                <w:color w:val="0D0D0D" w:themeColor="text1" w:themeTint="F2"/>
              </w:rPr>
              <w:t>Critique of the relevant committee chapter from the 6th ICI with bullet points on how it might be improved (</w:t>
            </w:r>
            <w:r w:rsidRPr="00E93AE1">
              <w:rPr>
                <w:color w:val="FF0000"/>
              </w:rPr>
              <w:t>250 words maximum</w:t>
            </w:r>
            <w:r w:rsidRPr="00E93AE1">
              <w:rPr>
                <w:b/>
                <w:bCs/>
                <w:color w:val="0D0D0D" w:themeColor="text1" w:themeTint="F2"/>
              </w:rPr>
              <w:t>)</w:t>
            </w:r>
            <w:r w:rsidR="004B765C">
              <w:rPr>
                <w:b/>
                <w:bCs/>
                <w:color w:val="0D0D0D" w:themeColor="text1" w:themeTint="F2"/>
              </w:rPr>
              <w:t xml:space="preserve">. </w:t>
            </w:r>
            <w:r w:rsidR="004B765C" w:rsidRPr="000F76A5">
              <w:rPr>
                <w:b/>
                <w:bCs/>
                <w:i/>
                <w:iCs/>
                <w:color w:val="0D0D0D" w:themeColor="text1" w:themeTint="F2"/>
              </w:rPr>
              <w:t>The ICS office (</w:t>
            </w:r>
            <w:hyperlink r:id="rId11" w:history="1">
              <w:r w:rsidR="004B765C" w:rsidRPr="000F76A5">
                <w:rPr>
                  <w:rStyle w:val="Hyperlink"/>
                  <w:b/>
                  <w:bCs/>
                  <w:i/>
                  <w:iCs/>
                  <w:color w:val="056AD0" w:themeColor="hyperlink" w:themeTint="F2"/>
                </w:rPr>
                <w:t>info@ics.org</w:t>
              </w:r>
            </w:hyperlink>
            <w:r w:rsidR="004B765C" w:rsidRPr="000F76A5">
              <w:rPr>
                <w:b/>
                <w:bCs/>
                <w:i/>
                <w:iCs/>
                <w:color w:val="0D0D0D" w:themeColor="text1" w:themeTint="F2"/>
              </w:rPr>
              <w:t>) can provide you with a complimentary e-copy of ICI-6 if necessary.</w:t>
            </w:r>
            <w:r w:rsidR="004B765C">
              <w:rPr>
                <w:b/>
                <w:bCs/>
                <w:color w:val="0D0D0D" w:themeColor="text1" w:themeTint="F2"/>
              </w:rPr>
              <w:t xml:space="preserve"> </w:t>
            </w:r>
          </w:p>
          <w:p w14:paraId="7E9FAD4C" w14:textId="2FA7A0ED" w:rsidR="00E93AE1" w:rsidRDefault="00E93AE1" w:rsidP="009F3F48">
            <w:pPr>
              <w:pStyle w:val="m3957128453788446593msolistparagraph"/>
              <w:rPr>
                <w:color w:val="1F497D"/>
              </w:rPr>
            </w:pPr>
          </w:p>
          <w:p w14:paraId="4CD562F6" w14:textId="3142606B" w:rsidR="00EA1E05" w:rsidRDefault="00EA1E05" w:rsidP="009F3F48">
            <w:pPr>
              <w:pStyle w:val="m3957128453788446593msolistparagraph"/>
              <w:rPr>
                <w:color w:val="1F497D"/>
              </w:rPr>
            </w:pPr>
          </w:p>
          <w:p w14:paraId="5A79B5AC" w14:textId="77777777" w:rsidR="00EA1E05" w:rsidRDefault="00EA1E05" w:rsidP="009F3F48">
            <w:pPr>
              <w:pStyle w:val="m3957128453788446593msolistparagraph"/>
              <w:rPr>
                <w:color w:val="1F497D"/>
              </w:rPr>
            </w:pPr>
          </w:p>
          <w:p w14:paraId="4EC8444E" w14:textId="77777777" w:rsidR="00E93AE1" w:rsidRDefault="00E93AE1" w:rsidP="009F3F48">
            <w:pPr>
              <w:pStyle w:val="m3957128453788446593msolistparagraph"/>
              <w:rPr>
                <w:color w:val="1F497D"/>
              </w:rPr>
            </w:pPr>
          </w:p>
          <w:p w14:paraId="73F13C60" w14:textId="77777777" w:rsidR="00E93AE1" w:rsidRDefault="00E93AE1" w:rsidP="009F3F48">
            <w:pPr>
              <w:pStyle w:val="m3957128453788446593msolistparagraph"/>
              <w:rPr>
                <w:color w:val="1F497D"/>
              </w:rPr>
            </w:pPr>
          </w:p>
        </w:tc>
      </w:tr>
    </w:tbl>
    <w:p w14:paraId="671EA9FA" w14:textId="77777777" w:rsidR="009F3F48" w:rsidRDefault="009F3F48" w:rsidP="009F3F48">
      <w:pPr>
        <w:pStyle w:val="m3957128453788446593msolistparagraph"/>
        <w:rPr>
          <w:color w:val="1F497D"/>
        </w:rPr>
      </w:pPr>
    </w:p>
    <w:tbl>
      <w:tblPr>
        <w:tblStyle w:val="TableGrid"/>
        <w:tblW w:w="0" w:type="auto"/>
        <w:tblLook w:val="04A0" w:firstRow="1" w:lastRow="0" w:firstColumn="1" w:lastColumn="0" w:noHBand="0" w:noVBand="1"/>
      </w:tblPr>
      <w:tblGrid>
        <w:gridCol w:w="9016"/>
      </w:tblGrid>
      <w:tr w:rsidR="00E93AE1" w14:paraId="21BE79C2" w14:textId="77777777" w:rsidTr="007B3B78">
        <w:tc>
          <w:tcPr>
            <w:tcW w:w="9016" w:type="dxa"/>
          </w:tcPr>
          <w:p w14:paraId="1E6BD55B" w14:textId="77777777" w:rsidR="00E93AE1" w:rsidRPr="00E93AE1" w:rsidRDefault="00E93AE1" w:rsidP="00E93AE1">
            <w:pPr>
              <w:pStyle w:val="m3957128453788446593msolistparagraph"/>
              <w:rPr>
                <w:b/>
                <w:bCs/>
                <w:color w:val="0D0D0D" w:themeColor="text1" w:themeTint="F2"/>
              </w:rPr>
            </w:pPr>
            <w:r w:rsidRPr="00E93AE1">
              <w:rPr>
                <w:b/>
                <w:bCs/>
                <w:color w:val="0D0D0D" w:themeColor="text1" w:themeTint="F2"/>
              </w:rPr>
              <w:t>Previous experience in working with a consultation process or guidelines</w:t>
            </w:r>
          </w:p>
          <w:p w14:paraId="29E4CF5D" w14:textId="27DA2E77" w:rsidR="00E93AE1" w:rsidRDefault="00E93AE1" w:rsidP="007B3B78">
            <w:pPr>
              <w:pStyle w:val="m3957128453788446593msolistparagraph"/>
              <w:rPr>
                <w:color w:val="1F497D"/>
              </w:rPr>
            </w:pPr>
          </w:p>
          <w:p w14:paraId="78354BBE" w14:textId="77777777" w:rsidR="00EA1E05" w:rsidRDefault="00EA1E05" w:rsidP="007B3B78">
            <w:pPr>
              <w:pStyle w:val="m3957128453788446593msolistparagraph"/>
              <w:rPr>
                <w:color w:val="1F497D"/>
              </w:rPr>
            </w:pPr>
          </w:p>
          <w:p w14:paraId="49F3EB51" w14:textId="77777777" w:rsidR="00E93AE1" w:rsidRDefault="00E93AE1" w:rsidP="007B3B78">
            <w:pPr>
              <w:pStyle w:val="m3957128453788446593msolistparagraph"/>
              <w:rPr>
                <w:color w:val="1F497D"/>
              </w:rPr>
            </w:pPr>
          </w:p>
          <w:p w14:paraId="2D9755AC" w14:textId="77777777" w:rsidR="00E93AE1" w:rsidRDefault="00E93AE1" w:rsidP="007B3B78">
            <w:pPr>
              <w:pStyle w:val="m3957128453788446593msolistparagraph"/>
              <w:rPr>
                <w:color w:val="1F497D"/>
              </w:rPr>
            </w:pPr>
          </w:p>
        </w:tc>
      </w:tr>
    </w:tbl>
    <w:p w14:paraId="2351CBE3" w14:textId="77777777" w:rsidR="00E93AE1" w:rsidRDefault="00E93AE1" w:rsidP="00E93AE1">
      <w:pPr>
        <w:pStyle w:val="m3957128453788446593msolistparagraph"/>
        <w:rPr>
          <w:color w:val="1F497D"/>
        </w:rPr>
      </w:pPr>
    </w:p>
    <w:tbl>
      <w:tblPr>
        <w:tblStyle w:val="TableGrid"/>
        <w:tblW w:w="0" w:type="auto"/>
        <w:tblLook w:val="04A0" w:firstRow="1" w:lastRow="0" w:firstColumn="1" w:lastColumn="0" w:noHBand="0" w:noVBand="1"/>
      </w:tblPr>
      <w:tblGrid>
        <w:gridCol w:w="9016"/>
      </w:tblGrid>
      <w:tr w:rsidR="00E93AE1" w14:paraId="057060C2" w14:textId="77777777" w:rsidTr="007B3B78">
        <w:tc>
          <w:tcPr>
            <w:tcW w:w="9016" w:type="dxa"/>
          </w:tcPr>
          <w:p w14:paraId="14079716" w14:textId="77777777" w:rsidR="00E93AE1" w:rsidRPr="00E93AE1" w:rsidRDefault="00E93AE1" w:rsidP="00E93AE1">
            <w:pPr>
              <w:pStyle w:val="m3957128453788446593msolistparagraph"/>
              <w:rPr>
                <w:b/>
                <w:bCs/>
                <w:color w:val="0D0D0D" w:themeColor="text1" w:themeTint="F2"/>
              </w:rPr>
            </w:pPr>
            <w:r w:rsidRPr="00E93AE1">
              <w:rPr>
                <w:b/>
                <w:bCs/>
                <w:color w:val="0D0D0D" w:themeColor="text1" w:themeTint="F2"/>
              </w:rPr>
              <w:t>Publications relevant to the work of the committee (up to five within last 3 years)</w:t>
            </w:r>
          </w:p>
          <w:p w14:paraId="023BF5BF" w14:textId="50CC74D9" w:rsidR="00E93AE1" w:rsidRDefault="00E93AE1" w:rsidP="007B3B78">
            <w:pPr>
              <w:pStyle w:val="m3957128453788446593msolistparagraph"/>
              <w:rPr>
                <w:color w:val="1F497D"/>
              </w:rPr>
            </w:pPr>
          </w:p>
          <w:p w14:paraId="4EAB975A" w14:textId="77777777" w:rsidR="00EA1E05" w:rsidRDefault="00EA1E05" w:rsidP="007B3B78">
            <w:pPr>
              <w:pStyle w:val="m3957128453788446593msolistparagraph"/>
              <w:rPr>
                <w:color w:val="1F497D"/>
              </w:rPr>
            </w:pPr>
          </w:p>
          <w:p w14:paraId="514F5031" w14:textId="77777777" w:rsidR="00E93AE1" w:rsidRDefault="00E93AE1" w:rsidP="007B3B78">
            <w:pPr>
              <w:pStyle w:val="m3957128453788446593msolistparagraph"/>
              <w:rPr>
                <w:color w:val="1F497D"/>
              </w:rPr>
            </w:pPr>
          </w:p>
          <w:p w14:paraId="6AC43D4B" w14:textId="77777777" w:rsidR="00E93AE1" w:rsidRDefault="00E93AE1" w:rsidP="007B3B78">
            <w:pPr>
              <w:pStyle w:val="m3957128453788446593msolistparagraph"/>
              <w:rPr>
                <w:color w:val="1F497D"/>
              </w:rPr>
            </w:pPr>
          </w:p>
        </w:tc>
      </w:tr>
    </w:tbl>
    <w:p w14:paraId="433CA55A" w14:textId="77777777" w:rsidR="00E93AE1" w:rsidRDefault="00E93AE1" w:rsidP="00E93AE1">
      <w:pPr>
        <w:pStyle w:val="m3957128453788446593msolistparagraph"/>
        <w:rPr>
          <w:color w:val="1F497D"/>
        </w:rPr>
      </w:pPr>
    </w:p>
    <w:tbl>
      <w:tblPr>
        <w:tblStyle w:val="TableGrid"/>
        <w:tblW w:w="0" w:type="auto"/>
        <w:tblLook w:val="04A0" w:firstRow="1" w:lastRow="0" w:firstColumn="1" w:lastColumn="0" w:noHBand="0" w:noVBand="1"/>
      </w:tblPr>
      <w:tblGrid>
        <w:gridCol w:w="9016"/>
      </w:tblGrid>
      <w:tr w:rsidR="00E93AE1" w14:paraId="52B37BD6" w14:textId="77777777" w:rsidTr="007B3B78">
        <w:tc>
          <w:tcPr>
            <w:tcW w:w="9016" w:type="dxa"/>
          </w:tcPr>
          <w:p w14:paraId="08A0545A" w14:textId="77777777" w:rsidR="00E93AE1" w:rsidRDefault="00E93AE1" w:rsidP="00E93AE1">
            <w:pPr>
              <w:pStyle w:val="m3957128453788446593msolistparagraph"/>
            </w:pPr>
            <w:r w:rsidRPr="00E93AE1">
              <w:rPr>
                <w:b/>
                <w:bCs/>
                <w:color w:val="0D0D0D" w:themeColor="text1" w:themeTint="F2"/>
              </w:rPr>
              <w:t>How would you contribute to the committee’s work?</w:t>
            </w:r>
            <w:r w:rsidRPr="002C7874">
              <w:rPr>
                <w:color w:val="1F497D"/>
              </w:rPr>
              <w:t xml:space="preserve"> </w:t>
            </w:r>
            <w:r w:rsidRPr="00E93AE1">
              <w:rPr>
                <w:b/>
                <w:bCs/>
                <w:color w:val="0D0D0D" w:themeColor="text1" w:themeTint="F2"/>
              </w:rPr>
              <w:t>(</w:t>
            </w:r>
            <w:r w:rsidRPr="00E93AE1">
              <w:rPr>
                <w:color w:val="FF0000"/>
              </w:rPr>
              <w:t>200 words maximum</w:t>
            </w:r>
            <w:r w:rsidRPr="00E93AE1">
              <w:rPr>
                <w:b/>
                <w:bCs/>
                <w:color w:val="0D0D0D" w:themeColor="text1" w:themeTint="F2"/>
              </w:rPr>
              <w:t>)</w:t>
            </w:r>
          </w:p>
          <w:p w14:paraId="09D0AE55" w14:textId="77777777" w:rsidR="00E93AE1" w:rsidRDefault="00E93AE1" w:rsidP="007B3B78">
            <w:pPr>
              <w:pStyle w:val="m3957128453788446593msolistparagraph"/>
              <w:rPr>
                <w:color w:val="1F497D"/>
              </w:rPr>
            </w:pPr>
          </w:p>
          <w:p w14:paraId="25BC97BF" w14:textId="0A3B684C" w:rsidR="00E93AE1" w:rsidRDefault="00E93AE1" w:rsidP="007B3B78">
            <w:pPr>
              <w:pStyle w:val="m3957128453788446593msolistparagraph"/>
              <w:rPr>
                <w:color w:val="1F497D"/>
              </w:rPr>
            </w:pPr>
          </w:p>
          <w:p w14:paraId="241CD2CD" w14:textId="00CFB5E1" w:rsidR="00EA1E05" w:rsidRDefault="00EA1E05" w:rsidP="007B3B78">
            <w:pPr>
              <w:pStyle w:val="m3957128453788446593msolistparagraph"/>
              <w:rPr>
                <w:color w:val="1F497D"/>
              </w:rPr>
            </w:pPr>
          </w:p>
          <w:p w14:paraId="3B811D14" w14:textId="77777777" w:rsidR="00EA1E05" w:rsidRDefault="00EA1E05" w:rsidP="007B3B78">
            <w:pPr>
              <w:pStyle w:val="m3957128453788446593msolistparagraph"/>
              <w:rPr>
                <w:color w:val="1F497D"/>
              </w:rPr>
            </w:pPr>
          </w:p>
          <w:p w14:paraId="4F163BF3" w14:textId="77777777" w:rsidR="00E93AE1" w:rsidRDefault="00E93AE1" w:rsidP="007B3B78">
            <w:pPr>
              <w:pStyle w:val="m3957128453788446593msolistparagraph"/>
              <w:rPr>
                <w:color w:val="1F497D"/>
              </w:rPr>
            </w:pPr>
          </w:p>
          <w:p w14:paraId="2306B0A5" w14:textId="77777777" w:rsidR="00E93AE1" w:rsidRDefault="00E93AE1" w:rsidP="007B3B78">
            <w:pPr>
              <w:pStyle w:val="m3957128453788446593msolistparagraph"/>
              <w:rPr>
                <w:color w:val="1F497D"/>
              </w:rPr>
            </w:pPr>
          </w:p>
        </w:tc>
      </w:tr>
    </w:tbl>
    <w:p w14:paraId="4AA2AF09" w14:textId="77777777" w:rsidR="00F71722" w:rsidRDefault="00F71722">
      <w:pPr>
        <w:spacing w:after="160" w:line="259" w:lineRule="auto"/>
      </w:pPr>
      <w:r>
        <w:br w:type="page"/>
      </w:r>
    </w:p>
    <w:p w14:paraId="5E21D47E" w14:textId="77777777" w:rsidR="00F71722" w:rsidRPr="0058530C" w:rsidRDefault="00F71722" w:rsidP="00F71722">
      <w:pPr>
        <w:spacing w:before="100" w:beforeAutospacing="1" w:after="100" w:afterAutospacing="1"/>
        <w:rPr>
          <w:b/>
          <w:bCs/>
          <w:color w:val="0D0D0D" w:themeColor="text1" w:themeTint="F2"/>
          <w:u w:val="single"/>
        </w:rPr>
      </w:pPr>
      <w:r w:rsidRPr="0058530C">
        <w:rPr>
          <w:b/>
          <w:bCs/>
          <w:color w:val="0D0D0D" w:themeColor="text1" w:themeTint="F2"/>
          <w:u w:val="single"/>
        </w:rPr>
        <w:lastRenderedPageBreak/>
        <w:t>APPENDIX A</w:t>
      </w:r>
    </w:p>
    <w:p w14:paraId="52E1D903" w14:textId="77777777" w:rsidR="00F71722" w:rsidRPr="0058530C" w:rsidRDefault="00F71722" w:rsidP="00F71722">
      <w:pPr>
        <w:spacing w:before="100" w:beforeAutospacing="1" w:after="100" w:afterAutospacing="1"/>
        <w:rPr>
          <w:b/>
          <w:bCs/>
          <w:color w:val="0D0D0D" w:themeColor="text1" w:themeTint="F2"/>
        </w:rPr>
      </w:pPr>
      <w:r w:rsidRPr="0058530C">
        <w:rPr>
          <w:b/>
          <w:bCs/>
          <w:color w:val="0D0D0D" w:themeColor="text1" w:themeTint="F2"/>
        </w:rPr>
        <w:t>Invitation to prospective candidates</w:t>
      </w:r>
    </w:p>
    <w:p w14:paraId="3D4F2FDE" w14:textId="356541A8" w:rsidR="00F71722" w:rsidRPr="0058530C" w:rsidRDefault="00F71722" w:rsidP="00F71722">
      <w:pPr>
        <w:spacing w:before="100" w:beforeAutospacing="1" w:after="100" w:afterAutospacing="1"/>
        <w:jc w:val="both"/>
        <w:rPr>
          <w:color w:val="0D0D0D" w:themeColor="text1" w:themeTint="F2"/>
        </w:rPr>
      </w:pPr>
      <w:r w:rsidRPr="0058530C">
        <w:rPr>
          <w:color w:val="0D0D0D" w:themeColor="text1" w:themeTint="F2"/>
        </w:rPr>
        <w:t xml:space="preserve">The ICI-Steering Committee are inviting expressions of interest from members of the ICS who wish to be considered for committee membership of the 7th ICI to be held at ICS 2020 in Las Vegas, 26 – 29 August. ICI committee members are strongly encouraged to attend the ICS 2020 meeting in Las Vegas. ICS will offer a 50% discount on registration to ICI committee members. </w:t>
      </w:r>
    </w:p>
    <w:p w14:paraId="21EC2115" w14:textId="77777777" w:rsidR="00F71722" w:rsidRPr="0058530C" w:rsidRDefault="00F71722" w:rsidP="00F71722">
      <w:pPr>
        <w:spacing w:before="100" w:beforeAutospacing="1" w:after="100" w:afterAutospacing="1"/>
        <w:rPr>
          <w:color w:val="0D0D0D" w:themeColor="text1" w:themeTint="F2"/>
        </w:rPr>
      </w:pPr>
      <w:r w:rsidRPr="0058530C">
        <w:rPr>
          <w:color w:val="0D0D0D" w:themeColor="text1" w:themeTint="F2"/>
        </w:rPr>
        <w:t xml:space="preserve">Please note that no other funding is available. </w:t>
      </w:r>
    </w:p>
    <w:p w14:paraId="7ABDD667" w14:textId="506B2437" w:rsidR="00F71722" w:rsidRPr="0058530C" w:rsidRDefault="00F71722" w:rsidP="00F71722">
      <w:pPr>
        <w:spacing w:before="100" w:beforeAutospacing="1" w:after="100" w:afterAutospacing="1"/>
        <w:jc w:val="both"/>
        <w:rPr>
          <w:color w:val="0D0D0D" w:themeColor="text1" w:themeTint="F2"/>
        </w:rPr>
      </w:pPr>
      <w:r w:rsidRPr="0058530C">
        <w:rPr>
          <w:color w:val="0D0D0D" w:themeColor="text1" w:themeTint="F2"/>
        </w:rPr>
        <w:t>There are 2</w:t>
      </w:r>
      <w:r w:rsidR="0066261A">
        <w:rPr>
          <w:color w:val="0D0D0D" w:themeColor="text1" w:themeTint="F2"/>
        </w:rPr>
        <w:t>2</w:t>
      </w:r>
      <w:bookmarkStart w:id="0" w:name="_GoBack"/>
      <w:bookmarkEnd w:id="0"/>
      <w:r w:rsidRPr="0058530C">
        <w:rPr>
          <w:color w:val="0D0D0D" w:themeColor="text1" w:themeTint="F2"/>
        </w:rPr>
        <w:t xml:space="preserve"> committees listed below and each will have up to 10 members. The committees work as a team with all members taking responsibility for the committee’s report which becomes a chapter in the book of the Consultation (Incontinence 7th edition).</w:t>
      </w:r>
    </w:p>
    <w:p w14:paraId="5FD71AF6" w14:textId="0894938A" w:rsidR="00F71722" w:rsidRPr="0058530C" w:rsidRDefault="00F71722" w:rsidP="00F71722">
      <w:pPr>
        <w:spacing w:before="100" w:beforeAutospacing="1" w:after="100" w:afterAutospacing="1"/>
        <w:jc w:val="both"/>
        <w:rPr>
          <w:color w:val="0D0D0D" w:themeColor="text1" w:themeTint="F2"/>
        </w:rPr>
      </w:pPr>
      <w:r w:rsidRPr="0058530C">
        <w:rPr>
          <w:color w:val="0D0D0D" w:themeColor="text1" w:themeTint="F2"/>
        </w:rPr>
        <w:t xml:space="preserve">The work is time consuming and to strict deadlines </w:t>
      </w:r>
      <w:proofErr w:type="gramStart"/>
      <w:r w:rsidRPr="0058530C">
        <w:rPr>
          <w:color w:val="0D0D0D" w:themeColor="text1" w:themeTint="F2"/>
        </w:rPr>
        <w:t>in order to</w:t>
      </w:r>
      <w:proofErr w:type="gramEnd"/>
      <w:r w:rsidRPr="0058530C">
        <w:rPr>
          <w:color w:val="0D0D0D" w:themeColor="text1" w:themeTint="F2"/>
        </w:rPr>
        <w:t xml:space="preserve"> produce the report for the 2020 meeting and then the ICI book within six months of the Consultation. As with previous ICIs any member of a committee who makes an inadequate contribution is removed from the committee and subsequent publications, in line with established authorship guidelines.</w:t>
      </w:r>
    </w:p>
    <w:p w14:paraId="5A323EC9" w14:textId="77777777" w:rsidR="00F71722" w:rsidRPr="0058530C" w:rsidRDefault="00F71722" w:rsidP="00F71722">
      <w:pPr>
        <w:spacing w:before="100" w:beforeAutospacing="1" w:after="100" w:afterAutospacing="1"/>
        <w:rPr>
          <w:color w:val="0D0D0D" w:themeColor="text1" w:themeTint="F2"/>
        </w:rPr>
      </w:pPr>
      <w:r w:rsidRPr="0058530C">
        <w:rPr>
          <w:b/>
          <w:bCs/>
          <w:color w:val="0D0D0D" w:themeColor="text1" w:themeTint="F2"/>
          <w:u w:val="single"/>
        </w:rPr>
        <w:t>How to apply</w:t>
      </w:r>
    </w:p>
    <w:p w14:paraId="549F82AE" w14:textId="77777777" w:rsidR="00F71722" w:rsidRPr="0058530C" w:rsidRDefault="00F71722" w:rsidP="00F71722">
      <w:pPr>
        <w:spacing w:before="100" w:beforeAutospacing="1" w:after="100" w:afterAutospacing="1"/>
        <w:jc w:val="both"/>
        <w:rPr>
          <w:color w:val="0D0D0D" w:themeColor="text1" w:themeTint="F2"/>
        </w:rPr>
      </w:pPr>
      <w:r w:rsidRPr="0058530C">
        <w:rPr>
          <w:color w:val="0D0D0D" w:themeColor="text1" w:themeTint="F2"/>
        </w:rPr>
        <w:t>Those interested will need to complete an application form detailing their expertise. Members are asked to apply to join a specific committee and therefore to be expert in the subject area covered by the relevant committee.</w:t>
      </w:r>
    </w:p>
    <w:p w14:paraId="06652900" w14:textId="77777777" w:rsidR="00F71722" w:rsidRPr="0058530C" w:rsidRDefault="00F71722" w:rsidP="00F71722">
      <w:pPr>
        <w:spacing w:before="100" w:beforeAutospacing="1" w:after="100" w:afterAutospacing="1"/>
        <w:rPr>
          <w:color w:val="FF0000"/>
        </w:rPr>
      </w:pPr>
      <w:r w:rsidRPr="0058530C">
        <w:rPr>
          <w:b/>
          <w:bCs/>
          <w:color w:val="FF0000"/>
        </w:rPr>
        <w:t xml:space="preserve">Deadline for applications: </w:t>
      </w:r>
      <w:r w:rsidRPr="0058530C">
        <w:rPr>
          <w:color w:val="FF0000"/>
        </w:rPr>
        <w:t>Wednesday</w:t>
      </w:r>
      <w:r w:rsidRPr="0058530C">
        <w:rPr>
          <w:b/>
          <w:bCs/>
          <w:color w:val="FF0000"/>
        </w:rPr>
        <w:t xml:space="preserve"> </w:t>
      </w:r>
      <w:r w:rsidRPr="0058530C">
        <w:rPr>
          <w:color w:val="FF0000"/>
        </w:rPr>
        <w:t>31</w:t>
      </w:r>
      <w:r w:rsidRPr="0058530C">
        <w:rPr>
          <w:color w:val="FF0000"/>
          <w:vertAlign w:val="superscript"/>
        </w:rPr>
        <w:t>st</w:t>
      </w:r>
      <w:r w:rsidRPr="0058530C">
        <w:rPr>
          <w:color w:val="FF0000"/>
        </w:rPr>
        <w:t xml:space="preserve"> October </w:t>
      </w:r>
    </w:p>
    <w:p w14:paraId="71E2AC08" w14:textId="77777777" w:rsidR="00F71722" w:rsidRPr="0058530C" w:rsidRDefault="00F71722" w:rsidP="00F71722">
      <w:pPr>
        <w:spacing w:before="100" w:beforeAutospacing="1" w:after="100" w:afterAutospacing="1"/>
        <w:rPr>
          <w:color w:val="0D0D0D" w:themeColor="text1" w:themeTint="F2"/>
        </w:rPr>
      </w:pPr>
      <w:r w:rsidRPr="0058530C">
        <w:rPr>
          <w:b/>
          <w:bCs/>
          <w:color w:val="0D0D0D" w:themeColor="text1" w:themeTint="F2"/>
          <w:u w:val="single"/>
        </w:rPr>
        <w:t>Review and decision process</w:t>
      </w:r>
    </w:p>
    <w:p w14:paraId="1FEE903E" w14:textId="77777777" w:rsidR="00F71722" w:rsidRPr="0058530C" w:rsidRDefault="00F71722" w:rsidP="00F71722">
      <w:pPr>
        <w:spacing w:before="100" w:beforeAutospacing="1" w:after="100" w:afterAutospacing="1"/>
        <w:jc w:val="both"/>
        <w:rPr>
          <w:color w:val="0D0D0D" w:themeColor="text1" w:themeTint="F2"/>
        </w:rPr>
      </w:pPr>
      <w:r w:rsidRPr="0058530C">
        <w:rPr>
          <w:color w:val="0D0D0D" w:themeColor="text1" w:themeTint="F2"/>
        </w:rPr>
        <w:t>All applications will be reviewed by the ICI-Steering Committee and the relevant chapter chair. Consideration will be given to geographical distribution and the multi-professional nature of care. Please note that the ICI-Steering Committee anticipates a high level of interest in committee positions and cannot guarantee that all interested applicants will be invited.</w:t>
      </w:r>
    </w:p>
    <w:p w14:paraId="1E204C34" w14:textId="77777777" w:rsidR="00F71722" w:rsidRPr="0058530C" w:rsidRDefault="00F71722" w:rsidP="00F71722">
      <w:pPr>
        <w:spacing w:before="100" w:beforeAutospacing="1" w:after="100" w:afterAutospacing="1"/>
        <w:rPr>
          <w:color w:val="0D0D0D" w:themeColor="text1" w:themeTint="F2"/>
        </w:rPr>
      </w:pPr>
      <w:r w:rsidRPr="0058530C">
        <w:rPr>
          <w:color w:val="0D0D0D" w:themeColor="text1" w:themeTint="F2"/>
        </w:rPr>
        <w:t>With best wishes,</w:t>
      </w:r>
    </w:p>
    <w:p w14:paraId="58182AC6" w14:textId="77777777" w:rsidR="00F71722" w:rsidRPr="0058530C" w:rsidRDefault="00F71722" w:rsidP="00F71722">
      <w:pPr>
        <w:rPr>
          <w:color w:val="0D0D0D" w:themeColor="text1" w:themeTint="F2"/>
        </w:rPr>
      </w:pPr>
      <w:r w:rsidRPr="0058530C">
        <w:rPr>
          <w:color w:val="0D0D0D" w:themeColor="text1" w:themeTint="F2"/>
        </w:rPr>
        <w:t xml:space="preserve">ICI Steering Committee </w:t>
      </w:r>
    </w:p>
    <w:p w14:paraId="322DDD80" w14:textId="77777777" w:rsidR="00F71722" w:rsidRPr="0058530C" w:rsidRDefault="00F71722" w:rsidP="00F71722">
      <w:pPr>
        <w:spacing w:before="100" w:beforeAutospacing="1" w:after="100" w:afterAutospacing="1"/>
        <w:rPr>
          <w:b/>
          <w:bCs/>
          <w:color w:val="0D0D0D" w:themeColor="text1" w:themeTint="F2"/>
          <w:sz w:val="24"/>
          <w:szCs w:val="24"/>
          <w:u w:val="single"/>
        </w:rPr>
      </w:pPr>
      <w:r w:rsidRPr="0058530C">
        <w:rPr>
          <w:b/>
          <w:bCs/>
          <w:color w:val="0D0D0D" w:themeColor="text1" w:themeTint="F2"/>
          <w:sz w:val="24"/>
          <w:szCs w:val="24"/>
          <w:u w:val="single"/>
        </w:rPr>
        <w:t xml:space="preserve">ICI-Steering Committee </w:t>
      </w:r>
    </w:p>
    <w:p w14:paraId="24973CBC" w14:textId="77777777" w:rsidR="00F71722" w:rsidRPr="0058530C" w:rsidRDefault="00F71722" w:rsidP="00F71722">
      <w:pPr>
        <w:spacing w:before="100" w:beforeAutospacing="1" w:after="100" w:afterAutospacing="1"/>
        <w:rPr>
          <w:color w:val="0D0D0D" w:themeColor="text1" w:themeTint="F2"/>
        </w:rPr>
      </w:pPr>
      <w:r w:rsidRPr="0058530C">
        <w:rPr>
          <w:color w:val="0D0D0D" w:themeColor="text1" w:themeTint="F2"/>
        </w:rPr>
        <w:t>Paul Abrams:</w:t>
      </w:r>
      <w:r w:rsidRPr="0058530C">
        <w:rPr>
          <w:color w:val="0D0D0D" w:themeColor="text1" w:themeTint="F2"/>
        </w:rPr>
        <w:tab/>
        <w:t>ICI Consultant</w:t>
      </w:r>
    </w:p>
    <w:p w14:paraId="5901CBD7" w14:textId="77777777" w:rsidR="00F71722" w:rsidRPr="0058530C" w:rsidRDefault="00F71722" w:rsidP="00F71722">
      <w:pPr>
        <w:spacing w:before="100" w:beforeAutospacing="1" w:after="100" w:afterAutospacing="1"/>
        <w:rPr>
          <w:color w:val="0D0D0D" w:themeColor="text1" w:themeTint="F2"/>
        </w:rPr>
      </w:pPr>
      <w:r w:rsidRPr="0058530C">
        <w:rPr>
          <w:color w:val="0D0D0D" w:themeColor="text1" w:themeTint="F2"/>
        </w:rPr>
        <w:t>Linda Cardozo:</w:t>
      </w:r>
      <w:r w:rsidRPr="0058530C">
        <w:rPr>
          <w:color w:val="0D0D0D" w:themeColor="text1" w:themeTint="F2"/>
        </w:rPr>
        <w:tab/>
        <w:t>ICI Editor</w:t>
      </w:r>
    </w:p>
    <w:p w14:paraId="34F5E540" w14:textId="77777777" w:rsidR="00F71722" w:rsidRPr="0058530C" w:rsidRDefault="00F71722" w:rsidP="00F71722">
      <w:pPr>
        <w:spacing w:before="100" w:beforeAutospacing="1" w:after="100" w:afterAutospacing="1"/>
        <w:rPr>
          <w:color w:val="0D0D0D" w:themeColor="text1" w:themeTint="F2"/>
        </w:rPr>
      </w:pPr>
      <w:r w:rsidRPr="0058530C">
        <w:rPr>
          <w:color w:val="0D0D0D" w:themeColor="text1" w:themeTint="F2"/>
        </w:rPr>
        <w:t>Eric Rovner:</w:t>
      </w:r>
      <w:r w:rsidRPr="0058530C">
        <w:rPr>
          <w:color w:val="0D0D0D" w:themeColor="text1" w:themeTint="F2"/>
        </w:rPr>
        <w:tab/>
        <w:t>ICI Editor</w:t>
      </w:r>
    </w:p>
    <w:p w14:paraId="5868A28A" w14:textId="77777777" w:rsidR="00F71722" w:rsidRPr="0058530C" w:rsidRDefault="00F71722" w:rsidP="00F71722">
      <w:pPr>
        <w:spacing w:before="100" w:beforeAutospacing="1" w:after="100" w:afterAutospacing="1"/>
        <w:rPr>
          <w:color w:val="0D0D0D" w:themeColor="text1" w:themeTint="F2"/>
        </w:rPr>
      </w:pPr>
      <w:r w:rsidRPr="0058530C">
        <w:rPr>
          <w:color w:val="0D0D0D" w:themeColor="text1" w:themeTint="F2"/>
        </w:rPr>
        <w:t>Adrian Wagg:</w:t>
      </w:r>
      <w:r w:rsidRPr="0058530C">
        <w:rPr>
          <w:color w:val="0D0D0D" w:themeColor="text1" w:themeTint="F2"/>
        </w:rPr>
        <w:tab/>
        <w:t>ICI Editor</w:t>
      </w:r>
    </w:p>
    <w:p w14:paraId="41305D40" w14:textId="77777777" w:rsidR="00F71722" w:rsidRPr="0058530C" w:rsidRDefault="00F71722" w:rsidP="00F71722">
      <w:pPr>
        <w:spacing w:before="100" w:beforeAutospacing="1" w:after="100" w:afterAutospacing="1"/>
        <w:rPr>
          <w:color w:val="0D0D0D" w:themeColor="text1" w:themeTint="F2"/>
        </w:rPr>
      </w:pPr>
      <w:r w:rsidRPr="0058530C">
        <w:rPr>
          <w:color w:val="0D0D0D" w:themeColor="text1" w:themeTint="F2"/>
        </w:rPr>
        <w:t>Alan Wein:</w:t>
      </w:r>
      <w:r w:rsidRPr="0058530C">
        <w:rPr>
          <w:color w:val="0D0D0D" w:themeColor="text1" w:themeTint="F2"/>
        </w:rPr>
        <w:tab/>
        <w:t xml:space="preserve">ICI Editor </w:t>
      </w:r>
    </w:p>
    <w:p w14:paraId="77764746" w14:textId="77777777" w:rsidR="00F71722" w:rsidRPr="0058530C" w:rsidRDefault="00F71722" w:rsidP="00F71722">
      <w:pPr>
        <w:spacing w:before="100" w:beforeAutospacing="1" w:after="100" w:afterAutospacing="1"/>
        <w:rPr>
          <w:color w:val="0D0D0D" w:themeColor="text1" w:themeTint="F2"/>
        </w:rPr>
      </w:pPr>
      <w:r w:rsidRPr="0058530C">
        <w:rPr>
          <w:color w:val="0D0D0D" w:themeColor="text1" w:themeTint="F2"/>
        </w:rPr>
        <w:lastRenderedPageBreak/>
        <w:t>Sherif Mourad:</w:t>
      </w:r>
      <w:r w:rsidRPr="0058530C">
        <w:rPr>
          <w:color w:val="0D0D0D" w:themeColor="text1" w:themeTint="F2"/>
        </w:rPr>
        <w:tab/>
      </w:r>
      <w:r w:rsidR="000966FD" w:rsidRPr="0058530C">
        <w:rPr>
          <w:color w:val="0D0D0D" w:themeColor="text1" w:themeTint="F2"/>
        </w:rPr>
        <w:t xml:space="preserve">     </w:t>
      </w:r>
      <w:r w:rsidRPr="0058530C">
        <w:rPr>
          <w:color w:val="0D0D0D" w:themeColor="text1" w:themeTint="F2"/>
        </w:rPr>
        <w:t>ICS General Secretary</w:t>
      </w:r>
    </w:p>
    <w:p w14:paraId="0F993F45" w14:textId="77777777" w:rsidR="00F71722" w:rsidRPr="0058530C" w:rsidRDefault="00F71722" w:rsidP="00F71722">
      <w:pPr>
        <w:spacing w:before="100" w:beforeAutospacing="1" w:after="100" w:afterAutospacing="1"/>
        <w:rPr>
          <w:color w:val="0D0D0D" w:themeColor="text1" w:themeTint="F2"/>
        </w:rPr>
      </w:pPr>
      <w:r w:rsidRPr="0058530C">
        <w:rPr>
          <w:color w:val="0D0D0D" w:themeColor="text1" w:themeTint="F2"/>
        </w:rPr>
        <w:t>David Castro Diaz:  ICS General Secretary-Elect</w:t>
      </w:r>
    </w:p>
    <w:p w14:paraId="051CF0D8" w14:textId="77777777" w:rsidR="00F71722" w:rsidRPr="0058530C" w:rsidRDefault="00F71722" w:rsidP="00F71722">
      <w:pPr>
        <w:spacing w:before="100" w:beforeAutospacing="1" w:after="100" w:afterAutospacing="1"/>
        <w:rPr>
          <w:color w:val="0D0D0D" w:themeColor="text1" w:themeTint="F2"/>
        </w:rPr>
      </w:pPr>
      <w:r w:rsidRPr="0058530C">
        <w:rPr>
          <w:color w:val="0D0D0D" w:themeColor="text1" w:themeTint="F2"/>
        </w:rPr>
        <w:t>Jerzy Gajewski:</w:t>
      </w:r>
      <w:r w:rsidRPr="0058530C">
        <w:rPr>
          <w:color w:val="0D0D0D" w:themeColor="text1" w:themeTint="F2"/>
        </w:rPr>
        <w:tab/>
        <w:t xml:space="preserve">      ICS Treasurer</w:t>
      </w:r>
    </w:p>
    <w:p w14:paraId="4250397A" w14:textId="77777777" w:rsidR="00F71722" w:rsidRPr="0058530C" w:rsidRDefault="00F71722" w:rsidP="00F71722">
      <w:pPr>
        <w:spacing w:before="100" w:beforeAutospacing="1" w:after="100" w:afterAutospacing="1"/>
        <w:rPr>
          <w:color w:val="0D0D0D" w:themeColor="text1" w:themeTint="F2"/>
        </w:rPr>
      </w:pPr>
      <w:r w:rsidRPr="0058530C">
        <w:rPr>
          <w:color w:val="0D0D0D" w:themeColor="text1" w:themeTint="F2"/>
        </w:rPr>
        <w:t>Carlos D’Ancona:     ICS Trustee</w:t>
      </w:r>
    </w:p>
    <w:p w14:paraId="1AB9E134" w14:textId="77777777" w:rsidR="00F71722" w:rsidRPr="0058530C" w:rsidRDefault="00F71722" w:rsidP="00F71722">
      <w:pPr>
        <w:spacing w:before="100" w:beforeAutospacing="1" w:after="100" w:afterAutospacing="1"/>
        <w:rPr>
          <w:color w:val="0D0D0D" w:themeColor="text1" w:themeTint="F2"/>
        </w:rPr>
      </w:pPr>
      <w:r w:rsidRPr="0058530C">
        <w:rPr>
          <w:color w:val="0D0D0D" w:themeColor="text1" w:themeTint="F2"/>
        </w:rPr>
        <w:t xml:space="preserve">Roger Dmochowski:  Editor, Neurourology &amp; Urodynamics </w:t>
      </w:r>
      <w:r w:rsidR="00653C07" w:rsidRPr="0058530C">
        <w:rPr>
          <w:color w:val="0D0D0D" w:themeColor="text1" w:themeTint="F2"/>
        </w:rPr>
        <w:t>journal</w:t>
      </w:r>
    </w:p>
    <w:p w14:paraId="6801403C" w14:textId="77777777" w:rsidR="005B52FE" w:rsidRDefault="005B52FE"/>
    <w:sectPr w:rsidR="005B52F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5F0E6" w14:textId="77777777" w:rsidR="00246AF5" w:rsidRDefault="00246AF5" w:rsidP="000F76A5">
      <w:r>
        <w:separator/>
      </w:r>
    </w:p>
  </w:endnote>
  <w:endnote w:type="continuationSeparator" w:id="0">
    <w:p w14:paraId="2BBA6CC8" w14:textId="77777777" w:rsidR="00246AF5" w:rsidRDefault="00246AF5" w:rsidP="000F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926008"/>
      <w:docPartObj>
        <w:docPartGallery w:val="Page Numbers (Bottom of Page)"/>
        <w:docPartUnique/>
      </w:docPartObj>
    </w:sdtPr>
    <w:sdtEndPr>
      <w:rPr>
        <w:noProof/>
      </w:rPr>
    </w:sdtEndPr>
    <w:sdtContent>
      <w:p w14:paraId="558FF6D8" w14:textId="309630B8" w:rsidR="000F76A5" w:rsidRDefault="000F76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ABE026" w14:textId="77777777" w:rsidR="000F76A5" w:rsidRDefault="000F7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D81FC" w14:textId="77777777" w:rsidR="00246AF5" w:rsidRDefault="00246AF5" w:rsidP="000F76A5">
      <w:r>
        <w:separator/>
      </w:r>
    </w:p>
  </w:footnote>
  <w:footnote w:type="continuationSeparator" w:id="0">
    <w:p w14:paraId="20EF4F83" w14:textId="77777777" w:rsidR="00246AF5" w:rsidRDefault="00246AF5" w:rsidP="000F7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0783D"/>
    <w:multiLevelType w:val="multilevel"/>
    <w:tmpl w:val="290E865E"/>
    <w:lvl w:ilvl="0">
      <w:start w:val="1"/>
      <w:numFmt w:val="decimal"/>
      <w:lvlText w:val="%1."/>
      <w:lvlJc w:val="left"/>
      <w:pPr>
        <w:tabs>
          <w:tab w:val="num" w:pos="720"/>
        </w:tabs>
        <w:ind w:left="720" w:hanging="360"/>
      </w:pPr>
      <w:rPr>
        <w:color w:val="000000" w:themeColor="text1"/>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3A43635"/>
    <w:multiLevelType w:val="hybridMultilevel"/>
    <w:tmpl w:val="16B68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94"/>
    <w:rsid w:val="00025194"/>
    <w:rsid w:val="000831D4"/>
    <w:rsid w:val="000966FD"/>
    <w:rsid w:val="000F76A5"/>
    <w:rsid w:val="00246AF5"/>
    <w:rsid w:val="002709DC"/>
    <w:rsid w:val="002A1D8B"/>
    <w:rsid w:val="004B765C"/>
    <w:rsid w:val="004D6DC0"/>
    <w:rsid w:val="00512D62"/>
    <w:rsid w:val="0058530C"/>
    <w:rsid w:val="005B52FE"/>
    <w:rsid w:val="006514EF"/>
    <w:rsid w:val="00653C07"/>
    <w:rsid w:val="0066261A"/>
    <w:rsid w:val="009C059A"/>
    <w:rsid w:val="009F3F48"/>
    <w:rsid w:val="00A83174"/>
    <w:rsid w:val="00D457F7"/>
    <w:rsid w:val="00E04BBA"/>
    <w:rsid w:val="00E93AE1"/>
    <w:rsid w:val="00EA1E05"/>
    <w:rsid w:val="00F717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3245"/>
  <w15:chartTrackingRefBased/>
  <w15:docId w15:val="{D0A1EF1B-78C5-4A64-AC75-A060C46F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1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957128453788446593msolistparagraph">
    <w:name w:val="m_3957128453788446593msolistparagraph"/>
    <w:basedOn w:val="Normal"/>
    <w:rsid w:val="00025194"/>
    <w:pPr>
      <w:spacing w:before="100" w:beforeAutospacing="1" w:after="100" w:afterAutospacing="1"/>
    </w:pPr>
  </w:style>
  <w:style w:type="table" w:styleId="TableGrid">
    <w:name w:val="Table Grid"/>
    <w:basedOn w:val="TableNormal"/>
    <w:uiPriority w:val="39"/>
    <w:rsid w:val="009F3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F48"/>
    <w:pPr>
      <w:ind w:left="720"/>
    </w:pPr>
    <w:rPr>
      <w:rFonts w:eastAsiaTheme="minorHAnsi"/>
      <w:lang w:eastAsia="en-US"/>
    </w:rPr>
  </w:style>
  <w:style w:type="character" w:styleId="Hyperlink">
    <w:name w:val="Hyperlink"/>
    <w:basedOn w:val="DefaultParagraphFont"/>
    <w:uiPriority w:val="99"/>
    <w:unhideWhenUsed/>
    <w:rsid w:val="00F71722"/>
    <w:rPr>
      <w:color w:val="0563C1" w:themeColor="hyperlink"/>
      <w:u w:val="single"/>
    </w:rPr>
  </w:style>
  <w:style w:type="character" w:styleId="UnresolvedMention">
    <w:name w:val="Unresolved Mention"/>
    <w:basedOn w:val="DefaultParagraphFont"/>
    <w:uiPriority w:val="99"/>
    <w:semiHidden/>
    <w:unhideWhenUsed/>
    <w:rsid w:val="00F71722"/>
    <w:rPr>
      <w:color w:val="605E5C"/>
      <w:shd w:val="clear" w:color="auto" w:fill="E1DFDD"/>
    </w:rPr>
  </w:style>
  <w:style w:type="paragraph" w:styleId="Header">
    <w:name w:val="header"/>
    <w:basedOn w:val="Normal"/>
    <w:link w:val="HeaderChar"/>
    <w:uiPriority w:val="99"/>
    <w:unhideWhenUsed/>
    <w:rsid w:val="000F76A5"/>
    <w:pPr>
      <w:tabs>
        <w:tab w:val="center" w:pos="4513"/>
        <w:tab w:val="right" w:pos="9026"/>
      </w:tabs>
    </w:pPr>
  </w:style>
  <w:style w:type="character" w:customStyle="1" w:styleId="HeaderChar">
    <w:name w:val="Header Char"/>
    <w:basedOn w:val="DefaultParagraphFont"/>
    <w:link w:val="Header"/>
    <w:uiPriority w:val="99"/>
    <w:rsid w:val="000F76A5"/>
    <w:rPr>
      <w:rFonts w:ascii="Calibri" w:hAnsi="Calibri" w:cs="Calibri"/>
    </w:rPr>
  </w:style>
  <w:style w:type="paragraph" w:styleId="Footer">
    <w:name w:val="footer"/>
    <w:basedOn w:val="Normal"/>
    <w:link w:val="FooterChar"/>
    <w:uiPriority w:val="99"/>
    <w:unhideWhenUsed/>
    <w:rsid w:val="000F76A5"/>
    <w:pPr>
      <w:tabs>
        <w:tab w:val="center" w:pos="4513"/>
        <w:tab w:val="right" w:pos="9026"/>
      </w:tabs>
    </w:pPr>
  </w:style>
  <w:style w:type="character" w:customStyle="1" w:styleId="FooterChar">
    <w:name w:val="Footer Char"/>
    <w:basedOn w:val="DefaultParagraphFont"/>
    <w:link w:val="Footer"/>
    <w:uiPriority w:val="99"/>
    <w:rsid w:val="000F76A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cs.org" TargetMode="External"/><Relationship Id="rId5" Type="http://schemas.openxmlformats.org/officeDocument/2006/relationships/webSettings" Target="webSettings.xml"/><Relationship Id="rId10" Type="http://schemas.openxmlformats.org/officeDocument/2006/relationships/hyperlink" Target="mailto:info@ic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96647-8A84-491F-8083-B105922D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Snowdon</dc:creator>
  <cp:keywords/>
  <dc:description/>
  <cp:lastModifiedBy>Jenny Ellis</cp:lastModifiedBy>
  <cp:revision>4</cp:revision>
  <dcterms:created xsi:type="dcterms:W3CDTF">2018-10-04T15:16:00Z</dcterms:created>
  <dcterms:modified xsi:type="dcterms:W3CDTF">2018-10-04T15:17:00Z</dcterms:modified>
</cp:coreProperties>
</file>